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rPr>
          <w:rFonts w:ascii="Times New Roman"/>
          <w:sz w:val="20"/>
        </w:rPr>
      </w:pPr>
    </w:p>
    <w:p>
      <w:pPr>
        <w:pStyle w:val="2"/>
        <w:spacing w:before="55"/>
      </w:pPr>
      <w:r>
        <w:t>附件 2</w:t>
      </w:r>
    </w:p>
    <w:p>
      <w:pPr>
        <w:pStyle w:val="2"/>
        <w:rPr>
          <w:sz w:val="14"/>
        </w:rPr>
      </w:pPr>
    </w:p>
    <w:p>
      <w:pPr>
        <w:spacing w:before="0" w:line="483" w:lineRule="exact"/>
        <w:ind w:left="1413" w:right="1738" w:firstLine="0"/>
        <w:jc w:val="center"/>
        <w:rPr>
          <w:rFonts w:hint="eastAsia" w:ascii="Microsoft JhengHei" w:eastAsia="Microsoft JhengHei"/>
          <w:b/>
          <w:sz w:val="28"/>
        </w:rPr>
      </w:pPr>
      <w:r>
        <w:rPr>
          <w:rFonts w:hint="eastAsia" w:ascii="Microsoft JhengHei" w:eastAsia="Microsoft JhengHei"/>
          <w:b/>
          <w:sz w:val="28"/>
        </w:rPr>
        <w:t>住宅小区光纤到户通信设施现场核验标准</w:t>
      </w:r>
    </w:p>
    <w:p>
      <w:pPr>
        <w:spacing w:before="109"/>
        <w:ind w:left="1413" w:right="1738" w:firstLine="0"/>
        <w:jc w:val="center"/>
        <w:rPr>
          <w:rFonts w:hint="eastAsia" w:ascii="Microsoft JhengHei" w:eastAsia="Microsoft JhengHei"/>
          <w:b/>
          <w:sz w:val="28"/>
        </w:rPr>
      </w:pPr>
      <w:r>
        <w:rPr>
          <w:rFonts w:hint="eastAsia" w:ascii="Microsoft JhengHei" w:eastAsia="Microsoft JhengHei"/>
          <w:b/>
          <w:sz w:val="28"/>
        </w:rPr>
        <w:t>（摘录）</w:t>
      </w:r>
    </w:p>
    <w:p>
      <w:pPr>
        <w:spacing w:before="20" w:line="349" w:lineRule="exact"/>
        <w:ind w:left="228" w:right="0" w:firstLine="0"/>
        <w:jc w:val="left"/>
        <w:rPr>
          <w:rFonts w:hint="eastAsia" w:ascii="Microsoft JhengHei" w:eastAsia="Microsoft JhengHei"/>
          <w:b/>
          <w:sz w:val="21"/>
        </w:rPr>
      </w:pPr>
      <w:r>
        <w:rPr>
          <w:sz w:val="21"/>
        </w:rPr>
        <w:t>一、</w:t>
      </w:r>
      <w:r>
        <w:rPr>
          <w:rFonts w:hint="eastAsia" w:ascii="Microsoft JhengHei" w:eastAsia="Microsoft JhengHei"/>
          <w:b/>
          <w:sz w:val="21"/>
        </w:rPr>
        <w:t>通信管道</w:t>
      </w:r>
    </w:p>
    <w:p>
      <w:pPr>
        <w:spacing w:before="0" w:line="347" w:lineRule="exact"/>
        <w:ind w:left="228" w:right="0" w:firstLine="0"/>
        <w:jc w:val="left"/>
        <w:rPr>
          <w:rFonts w:hint="eastAsia" w:ascii="Microsoft JhengHei" w:eastAsia="Microsoft JhengHei"/>
          <w:b/>
          <w:sz w:val="21"/>
        </w:rPr>
      </w:pPr>
      <w:r>
        <w:rPr>
          <w:rFonts w:hint="eastAsia" w:ascii="Microsoft JhengHei" w:eastAsia="Microsoft JhengHei"/>
          <w:b/>
          <w:sz w:val="21"/>
        </w:rPr>
        <w:t>1、管道埋深要求</w:t>
      </w:r>
    </w:p>
    <w:p>
      <w:pPr>
        <w:spacing w:before="0" w:line="267" w:lineRule="exact"/>
        <w:ind w:left="333" w:right="0" w:firstLine="0"/>
        <w:jc w:val="left"/>
        <w:rPr>
          <w:sz w:val="21"/>
        </w:rPr>
      </w:pPr>
      <w:r>
        <w:rPr>
          <w:sz w:val="21"/>
        </w:rPr>
        <w:t>塑料管：绿化带≥0.5m、人行道≥0.7m、车行道≥0.8m。</w:t>
      </w:r>
    </w:p>
    <w:p>
      <w:pPr>
        <w:spacing w:before="43" w:line="256" w:lineRule="exact"/>
        <w:ind w:left="333" w:right="0" w:firstLine="0"/>
        <w:jc w:val="left"/>
        <w:rPr>
          <w:sz w:val="21"/>
        </w:rPr>
      </w:pPr>
      <w:r>
        <w:rPr>
          <w:sz w:val="21"/>
        </w:rPr>
        <w:t>钢管：绿化带≥0.3m、人行道≥0.5m、车行道≥0.6m，建议车行道采用钢管。</w:t>
      </w:r>
    </w:p>
    <w:p>
      <w:pPr>
        <w:spacing w:before="0" w:line="336" w:lineRule="exact"/>
        <w:ind w:left="228" w:right="0" w:firstLine="0"/>
        <w:jc w:val="left"/>
        <w:rPr>
          <w:rFonts w:hint="eastAsia" w:ascii="Microsoft JhengHei" w:eastAsia="Microsoft JhengHei"/>
          <w:b/>
          <w:sz w:val="21"/>
        </w:rPr>
      </w:pPr>
      <w:r>
        <w:rPr>
          <w:rFonts w:hint="eastAsia" w:ascii="Microsoft JhengHei" w:eastAsia="Microsoft JhengHei"/>
          <w:b/>
          <w:sz w:val="21"/>
        </w:rPr>
        <w:t>2、人（手）孔要求管道埋深要求</w:t>
      </w:r>
    </w:p>
    <w:p>
      <w:pPr>
        <w:pStyle w:val="8"/>
        <w:numPr>
          <w:ilvl w:val="0"/>
          <w:numId w:val="1"/>
        </w:numPr>
        <w:tabs>
          <w:tab w:val="left" w:pos="1071"/>
        </w:tabs>
        <w:spacing w:before="0" w:after="0" w:line="347" w:lineRule="exact"/>
        <w:ind w:left="1070" w:right="0" w:hanging="528"/>
        <w:jc w:val="left"/>
        <w:rPr>
          <w:sz w:val="21"/>
        </w:rPr>
      </w:pPr>
      <w:r>
        <w:rPr>
          <w:sz w:val="21"/>
        </w:rPr>
        <w:t>进入人孔处的管道基础顶部距人孔基础顶部</w:t>
      </w:r>
      <w:r>
        <w:rPr>
          <w:spacing w:val="-12"/>
          <w:sz w:val="21"/>
        </w:rPr>
        <w:t>≥400mm</w:t>
      </w:r>
      <w:r>
        <w:rPr>
          <w:spacing w:val="-3"/>
          <w:sz w:val="21"/>
        </w:rPr>
        <w:t>，管道顶部距人孔上覆底部的净距离≥</w:t>
      </w:r>
    </w:p>
    <w:p>
      <w:pPr>
        <w:spacing w:before="0" w:line="253" w:lineRule="exact"/>
        <w:ind w:left="228" w:right="0" w:firstLine="0"/>
        <w:jc w:val="left"/>
        <w:rPr>
          <w:sz w:val="21"/>
        </w:rPr>
      </w:pPr>
      <w:r>
        <w:rPr>
          <w:sz w:val="21"/>
        </w:rPr>
        <w:t>300mm，进入手孔处的管道基础顶部距手孔基础顶部≥200mm。</w:t>
      </w:r>
    </w:p>
    <w:p>
      <w:pPr>
        <w:pStyle w:val="8"/>
        <w:numPr>
          <w:ilvl w:val="0"/>
          <w:numId w:val="1"/>
        </w:numPr>
        <w:tabs>
          <w:tab w:val="left" w:pos="1065"/>
        </w:tabs>
        <w:spacing w:before="0" w:after="0" w:line="336" w:lineRule="exact"/>
        <w:ind w:left="1064" w:right="0" w:hanging="529"/>
        <w:jc w:val="left"/>
        <w:rPr>
          <w:sz w:val="21"/>
        </w:rPr>
      </w:pPr>
      <w:r>
        <w:rPr>
          <w:sz w:val="21"/>
        </w:rPr>
        <w:t>远期管群容量＞6</w:t>
      </w:r>
      <w:r>
        <w:rPr>
          <w:spacing w:val="-8"/>
          <w:sz w:val="21"/>
        </w:rPr>
        <w:t xml:space="preserve"> 孔时，采用人孔；远期管群容量</w:t>
      </w:r>
      <w:r>
        <w:rPr>
          <w:sz w:val="21"/>
        </w:rPr>
        <w:t>≤6</w:t>
      </w:r>
      <w:r>
        <w:rPr>
          <w:spacing w:val="-8"/>
          <w:sz w:val="21"/>
        </w:rPr>
        <w:t xml:space="preserve"> 孔时，采用手孔。</w:t>
      </w:r>
    </w:p>
    <w:p>
      <w:pPr>
        <w:pStyle w:val="8"/>
        <w:numPr>
          <w:ilvl w:val="0"/>
          <w:numId w:val="1"/>
        </w:numPr>
        <w:tabs>
          <w:tab w:val="left" w:pos="1065"/>
        </w:tabs>
        <w:spacing w:before="0" w:after="0" w:line="349" w:lineRule="exact"/>
        <w:ind w:left="1064" w:right="0" w:hanging="529"/>
        <w:jc w:val="left"/>
        <w:rPr>
          <w:sz w:val="21"/>
        </w:rPr>
      </w:pPr>
      <w:r>
        <w:rPr>
          <w:sz w:val="21"/>
        </w:rPr>
        <w:t>人（手）孔规格：应符合下表要求，车行道应采用人孔。</w:t>
      </w:r>
    </w:p>
    <w:p>
      <w:pPr>
        <w:spacing w:before="42"/>
        <w:ind w:left="1504" w:right="1738" w:firstLine="0"/>
        <w:jc w:val="center"/>
        <w:rPr>
          <w:rFonts w:hint="eastAsia" w:ascii="Microsoft JhengHei" w:eastAsia="Microsoft JhengHei"/>
          <w:b/>
          <w:sz w:val="18"/>
        </w:rPr>
      </w:pPr>
      <w:r>
        <w:pict>
          <v:shape id="_x0000_s1032" o:spid="_x0000_s1032" o:spt="202" type="#_x0000_t202" style="position:absolute;left:0pt;margin-left:73.75pt;margin-top:16.6pt;height:259.7pt;width:426.85pt;mso-position-horizontal-relative:page;z-index:251659264;mso-width-relative:page;mso-height-relative:page;" filled="f" stroked="f" coordsize="21600,21600">
            <v:path/>
            <v:fill on="f" focussize="0,0"/>
            <v:stroke on="f"/>
            <v:imagedata o:title=""/>
            <o:lock v:ext="edit" aspectratio="f"/>
            <v:textbox inset="0mm,0mm,0mm,0mm">
              <w:txbxContent>
                <w:tbl>
                  <w:tblPr>
                    <w:tblStyle w:val="5"/>
                    <w:tblW w:w="0" w:type="auto"/>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75"/>
                    <w:gridCol w:w="993"/>
                    <w:gridCol w:w="1414"/>
                    <w:gridCol w:w="1058"/>
                    <w:gridCol w:w="1038"/>
                    <w:gridCol w:w="1038"/>
                    <w:gridCol w:w="230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5" w:hRule="atLeast"/>
                    </w:trPr>
                    <w:tc>
                      <w:tcPr>
                        <w:tcW w:w="1668" w:type="dxa"/>
                        <w:gridSpan w:val="2"/>
                        <w:vMerge w:val="restart"/>
                      </w:tcPr>
                      <w:p>
                        <w:pPr>
                          <w:pStyle w:val="9"/>
                          <w:spacing w:before="14"/>
                          <w:rPr>
                            <w:rFonts w:ascii="Microsoft JhengHei"/>
                            <w:b/>
                            <w:sz w:val="22"/>
                          </w:rPr>
                        </w:pPr>
                      </w:p>
                      <w:p>
                        <w:pPr>
                          <w:pStyle w:val="9"/>
                          <w:spacing w:before="1"/>
                          <w:ind w:left="473"/>
                          <w:rPr>
                            <w:sz w:val="18"/>
                          </w:rPr>
                        </w:pPr>
                        <w:r>
                          <w:rPr>
                            <w:sz w:val="18"/>
                          </w:rPr>
                          <w:t>管道段落</w:t>
                        </w:r>
                      </w:p>
                    </w:tc>
                    <w:tc>
                      <w:tcPr>
                        <w:tcW w:w="1414" w:type="dxa"/>
                        <w:vMerge w:val="restart"/>
                      </w:tcPr>
                      <w:p>
                        <w:pPr>
                          <w:pStyle w:val="9"/>
                          <w:spacing w:before="14"/>
                          <w:rPr>
                            <w:rFonts w:ascii="Microsoft JhengHei"/>
                            <w:b/>
                            <w:sz w:val="22"/>
                          </w:rPr>
                        </w:pPr>
                      </w:p>
                      <w:p>
                        <w:pPr>
                          <w:pStyle w:val="9"/>
                          <w:spacing w:before="1"/>
                          <w:ind w:left="347"/>
                          <w:rPr>
                            <w:sz w:val="18"/>
                          </w:rPr>
                        </w:pPr>
                        <w:r>
                          <w:rPr>
                            <w:sz w:val="18"/>
                          </w:rPr>
                          <w:t>管道容量</w:t>
                        </w:r>
                      </w:p>
                    </w:tc>
                    <w:tc>
                      <w:tcPr>
                        <w:tcW w:w="3134" w:type="dxa"/>
                        <w:gridSpan w:val="3"/>
                      </w:tcPr>
                      <w:p>
                        <w:pPr>
                          <w:pStyle w:val="9"/>
                          <w:spacing w:before="4"/>
                          <w:rPr>
                            <w:rFonts w:ascii="Microsoft JhengHei"/>
                            <w:b/>
                            <w:sz w:val="11"/>
                          </w:rPr>
                        </w:pPr>
                      </w:p>
                      <w:p>
                        <w:pPr>
                          <w:pStyle w:val="9"/>
                          <w:ind w:left="667"/>
                          <w:rPr>
                            <w:sz w:val="18"/>
                          </w:rPr>
                        </w:pPr>
                        <w:r>
                          <w:rPr>
                            <w:sz w:val="18"/>
                          </w:rPr>
                          <w:t>手孔程式选用规格(mm)</w:t>
                        </w:r>
                      </w:p>
                    </w:tc>
                    <w:tc>
                      <w:tcPr>
                        <w:tcW w:w="2306" w:type="dxa"/>
                        <w:vMerge w:val="restart"/>
                      </w:tcPr>
                      <w:p>
                        <w:pPr>
                          <w:pStyle w:val="9"/>
                          <w:spacing w:before="14"/>
                          <w:rPr>
                            <w:rFonts w:ascii="Microsoft JhengHei"/>
                            <w:b/>
                            <w:sz w:val="22"/>
                          </w:rPr>
                        </w:pPr>
                      </w:p>
                      <w:p>
                        <w:pPr>
                          <w:pStyle w:val="9"/>
                          <w:spacing w:before="1"/>
                          <w:ind w:left="952" w:right="943"/>
                          <w:jc w:val="center"/>
                          <w:rPr>
                            <w:sz w:val="18"/>
                          </w:rPr>
                        </w:pPr>
                        <w:r>
                          <w:rPr>
                            <w:sz w:val="18"/>
                          </w:rPr>
                          <w:t>用途</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5" w:hRule="atLeast"/>
                    </w:trPr>
                    <w:tc>
                      <w:tcPr>
                        <w:tcW w:w="1668" w:type="dxa"/>
                        <w:gridSpan w:val="2"/>
                        <w:vMerge w:val="continue"/>
                        <w:tcBorders>
                          <w:top w:val="nil"/>
                        </w:tcBorders>
                      </w:tcPr>
                      <w:p>
                        <w:pPr>
                          <w:rPr>
                            <w:sz w:val="2"/>
                            <w:szCs w:val="2"/>
                          </w:rPr>
                        </w:pPr>
                      </w:p>
                    </w:tc>
                    <w:tc>
                      <w:tcPr>
                        <w:tcW w:w="1414" w:type="dxa"/>
                        <w:vMerge w:val="continue"/>
                        <w:tcBorders>
                          <w:top w:val="nil"/>
                        </w:tcBorders>
                      </w:tcPr>
                      <w:p>
                        <w:pPr>
                          <w:rPr>
                            <w:sz w:val="2"/>
                            <w:szCs w:val="2"/>
                          </w:rPr>
                        </w:pPr>
                      </w:p>
                    </w:tc>
                    <w:tc>
                      <w:tcPr>
                        <w:tcW w:w="1058" w:type="dxa"/>
                      </w:tcPr>
                      <w:p>
                        <w:pPr>
                          <w:pStyle w:val="9"/>
                          <w:spacing w:before="157"/>
                          <w:ind w:right="428"/>
                          <w:jc w:val="right"/>
                          <w:rPr>
                            <w:sz w:val="18"/>
                          </w:rPr>
                        </w:pPr>
                        <w:r>
                          <w:rPr>
                            <w:sz w:val="18"/>
                          </w:rPr>
                          <w:t>长</w:t>
                        </w:r>
                      </w:p>
                    </w:tc>
                    <w:tc>
                      <w:tcPr>
                        <w:tcW w:w="1038" w:type="dxa"/>
                      </w:tcPr>
                      <w:p>
                        <w:pPr>
                          <w:pStyle w:val="9"/>
                          <w:spacing w:before="157"/>
                          <w:ind w:left="9"/>
                          <w:jc w:val="center"/>
                          <w:rPr>
                            <w:sz w:val="18"/>
                          </w:rPr>
                        </w:pPr>
                        <w:r>
                          <w:rPr>
                            <w:sz w:val="18"/>
                          </w:rPr>
                          <w:t>宽</w:t>
                        </w:r>
                      </w:p>
                    </w:tc>
                    <w:tc>
                      <w:tcPr>
                        <w:tcW w:w="1038" w:type="dxa"/>
                      </w:tcPr>
                      <w:p>
                        <w:pPr>
                          <w:pStyle w:val="9"/>
                          <w:spacing w:before="157"/>
                          <w:ind w:right="417"/>
                          <w:jc w:val="right"/>
                          <w:rPr>
                            <w:sz w:val="18"/>
                          </w:rPr>
                        </w:pPr>
                        <w:r>
                          <w:rPr>
                            <w:sz w:val="18"/>
                          </w:rPr>
                          <w:t>高</w:t>
                        </w:r>
                      </w:p>
                    </w:tc>
                    <w:tc>
                      <w:tcPr>
                        <w:tcW w:w="2306" w:type="dxa"/>
                        <w:vMerge w:val="continue"/>
                        <w:tcBorders>
                          <w:top w:val="nil"/>
                        </w:tcBorders>
                      </w:tcPr>
                      <w:p>
                        <w:pPr>
                          <w:rPr>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3" w:hRule="atLeast"/>
                    </w:trPr>
                    <w:tc>
                      <w:tcPr>
                        <w:tcW w:w="1668" w:type="dxa"/>
                        <w:gridSpan w:val="2"/>
                        <w:vMerge w:val="restart"/>
                      </w:tcPr>
                      <w:p>
                        <w:pPr>
                          <w:pStyle w:val="9"/>
                          <w:spacing w:before="6"/>
                          <w:rPr>
                            <w:rFonts w:ascii="Microsoft JhengHei"/>
                            <w:b/>
                            <w:sz w:val="22"/>
                          </w:rPr>
                        </w:pPr>
                      </w:p>
                      <w:p>
                        <w:pPr>
                          <w:pStyle w:val="9"/>
                          <w:ind w:left="473"/>
                          <w:rPr>
                            <w:sz w:val="18"/>
                          </w:rPr>
                        </w:pPr>
                        <w:r>
                          <w:rPr>
                            <w:sz w:val="18"/>
                          </w:rPr>
                          <w:t>通信管道</w:t>
                        </w:r>
                      </w:p>
                    </w:tc>
                    <w:tc>
                      <w:tcPr>
                        <w:tcW w:w="1414" w:type="dxa"/>
                      </w:tcPr>
                      <w:p>
                        <w:pPr>
                          <w:pStyle w:val="9"/>
                          <w:spacing w:before="5"/>
                          <w:rPr>
                            <w:rFonts w:ascii="Microsoft JhengHei"/>
                            <w:b/>
                            <w:sz w:val="12"/>
                          </w:rPr>
                        </w:pPr>
                      </w:p>
                      <w:p>
                        <w:pPr>
                          <w:pStyle w:val="9"/>
                          <w:ind w:left="147" w:right="137"/>
                          <w:jc w:val="center"/>
                          <w:rPr>
                            <w:sz w:val="18"/>
                          </w:rPr>
                        </w:pPr>
                        <w:r>
                          <w:rPr>
                            <w:sz w:val="18"/>
                          </w:rPr>
                          <w:t>3孔及3孔以下</w:t>
                        </w:r>
                      </w:p>
                    </w:tc>
                    <w:tc>
                      <w:tcPr>
                        <w:tcW w:w="1058" w:type="dxa"/>
                      </w:tcPr>
                      <w:p>
                        <w:pPr>
                          <w:pStyle w:val="9"/>
                          <w:spacing w:before="5"/>
                          <w:rPr>
                            <w:rFonts w:ascii="Microsoft JhengHei"/>
                            <w:b/>
                            <w:sz w:val="12"/>
                          </w:rPr>
                        </w:pPr>
                      </w:p>
                      <w:p>
                        <w:pPr>
                          <w:pStyle w:val="9"/>
                          <w:ind w:right="338"/>
                          <w:jc w:val="right"/>
                          <w:rPr>
                            <w:sz w:val="18"/>
                          </w:rPr>
                        </w:pPr>
                        <w:r>
                          <w:rPr>
                            <w:sz w:val="18"/>
                          </w:rPr>
                          <w:t>1120</w:t>
                        </w:r>
                      </w:p>
                    </w:tc>
                    <w:tc>
                      <w:tcPr>
                        <w:tcW w:w="1038" w:type="dxa"/>
                      </w:tcPr>
                      <w:p>
                        <w:pPr>
                          <w:pStyle w:val="9"/>
                          <w:spacing w:before="5"/>
                          <w:rPr>
                            <w:rFonts w:ascii="Microsoft JhengHei"/>
                            <w:b/>
                            <w:sz w:val="12"/>
                          </w:rPr>
                        </w:pPr>
                      </w:p>
                      <w:p>
                        <w:pPr>
                          <w:pStyle w:val="9"/>
                          <w:ind w:left="364" w:right="354"/>
                          <w:jc w:val="center"/>
                          <w:rPr>
                            <w:sz w:val="18"/>
                          </w:rPr>
                        </w:pPr>
                        <w:r>
                          <w:rPr>
                            <w:sz w:val="18"/>
                          </w:rPr>
                          <w:t>700</w:t>
                        </w:r>
                      </w:p>
                    </w:tc>
                    <w:tc>
                      <w:tcPr>
                        <w:tcW w:w="1038" w:type="dxa"/>
                      </w:tcPr>
                      <w:p>
                        <w:pPr>
                          <w:pStyle w:val="9"/>
                          <w:spacing w:before="5"/>
                          <w:rPr>
                            <w:rFonts w:ascii="Microsoft JhengHei"/>
                            <w:b/>
                            <w:sz w:val="12"/>
                          </w:rPr>
                        </w:pPr>
                      </w:p>
                      <w:p>
                        <w:pPr>
                          <w:pStyle w:val="9"/>
                          <w:ind w:right="327"/>
                          <w:jc w:val="right"/>
                          <w:rPr>
                            <w:sz w:val="18"/>
                          </w:rPr>
                        </w:pPr>
                        <w:r>
                          <w:rPr>
                            <w:sz w:val="18"/>
                          </w:rPr>
                          <w:t>1000</w:t>
                        </w:r>
                      </w:p>
                    </w:tc>
                    <w:tc>
                      <w:tcPr>
                        <w:tcW w:w="2306" w:type="dxa"/>
                      </w:tcPr>
                      <w:p>
                        <w:pPr>
                          <w:pStyle w:val="9"/>
                          <w:spacing w:before="5"/>
                          <w:rPr>
                            <w:rFonts w:ascii="Microsoft JhengHei"/>
                            <w:b/>
                            <w:sz w:val="12"/>
                          </w:rPr>
                        </w:pPr>
                      </w:p>
                      <w:p>
                        <w:pPr>
                          <w:pStyle w:val="9"/>
                          <w:ind w:left="107"/>
                          <w:rPr>
                            <w:sz w:val="18"/>
                          </w:rPr>
                        </w:pPr>
                        <w:r>
                          <w:rPr>
                            <w:sz w:val="18"/>
                          </w:rPr>
                          <w:t>用于线缆分支与接续</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0" w:hRule="atLeast"/>
                    </w:trPr>
                    <w:tc>
                      <w:tcPr>
                        <w:tcW w:w="1668" w:type="dxa"/>
                        <w:gridSpan w:val="2"/>
                        <w:vMerge w:val="continue"/>
                        <w:tcBorders>
                          <w:top w:val="nil"/>
                        </w:tcBorders>
                      </w:tcPr>
                      <w:p>
                        <w:pPr>
                          <w:rPr>
                            <w:sz w:val="2"/>
                            <w:szCs w:val="2"/>
                          </w:rPr>
                        </w:pPr>
                      </w:p>
                    </w:tc>
                    <w:tc>
                      <w:tcPr>
                        <w:tcW w:w="1414" w:type="dxa"/>
                      </w:tcPr>
                      <w:p>
                        <w:pPr>
                          <w:pStyle w:val="9"/>
                          <w:spacing w:before="129" w:line="211" w:lineRule="exact"/>
                          <w:ind w:left="147" w:right="137"/>
                          <w:jc w:val="center"/>
                          <w:rPr>
                            <w:sz w:val="18"/>
                          </w:rPr>
                        </w:pPr>
                        <w:r>
                          <w:rPr>
                            <w:sz w:val="18"/>
                          </w:rPr>
                          <w:t>3孔及3孔以下</w:t>
                        </w:r>
                      </w:p>
                    </w:tc>
                    <w:tc>
                      <w:tcPr>
                        <w:tcW w:w="1058" w:type="dxa"/>
                      </w:tcPr>
                      <w:p>
                        <w:pPr>
                          <w:pStyle w:val="9"/>
                          <w:spacing w:before="129" w:line="211" w:lineRule="exact"/>
                          <w:ind w:right="383"/>
                          <w:jc w:val="right"/>
                          <w:rPr>
                            <w:sz w:val="18"/>
                          </w:rPr>
                        </w:pPr>
                        <w:r>
                          <w:rPr>
                            <w:sz w:val="18"/>
                          </w:rPr>
                          <w:t>700</w:t>
                        </w:r>
                      </w:p>
                    </w:tc>
                    <w:tc>
                      <w:tcPr>
                        <w:tcW w:w="1038" w:type="dxa"/>
                      </w:tcPr>
                      <w:p>
                        <w:pPr>
                          <w:pStyle w:val="9"/>
                          <w:spacing w:before="129" w:line="211" w:lineRule="exact"/>
                          <w:ind w:left="364" w:right="354"/>
                          <w:jc w:val="center"/>
                          <w:rPr>
                            <w:sz w:val="18"/>
                          </w:rPr>
                        </w:pPr>
                        <w:r>
                          <w:rPr>
                            <w:sz w:val="18"/>
                          </w:rPr>
                          <w:t>500</w:t>
                        </w:r>
                      </w:p>
                    </w:tc>
                    <w:tc>
                      <w:tcPr>
                        <w:tcW w:w="1038" w:type="dxa"/>
                      </w:tcPr>
                      <w:p>
                        <w:pPr>
                          <w:pStyle w:val="9"/>
                          <w:spacing w:before="129" w:line="211" w:lineRule="exact"/>
                          <w:ind w:right="372"/>
                          <w:jc w:val="right"/>
                          <w:rPr>
                            <w:sz w:val="18"/>
                          </w:rPr>
                        </w:pPr>
                        <w:r>
                          <w:rPr>
                            <w:sz w:val="18"/>
                          </w:rPr>
                          <w:t>800</w:t>
                        </w:r>
                      </w:p>
                    </w:tc>
                    <w:tc>
                      <w:tcPr>
                        <w:tcW w:w="2306" w:type="dxa"/>
                      </w:tcPr>
                      <w:p>
                        <w:pPr>
                          <w:pStyle w:val="9"/>
                          <w:spacing w:before="129" w:line="211" w:lineRule="exact"/>
                          <w:ind w:left="107"/>
                          <w:rPr>
                            <w:sz w:val="18"/>
                          </w:rPr>
                        </w:pPr>
                        <w:r>
                          <w:rPr>
                            <w:sz w:val="18"/>
                          </w:rPr>
                          <w:t>用于线缆过线</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9" w:hRule="atLeast"/>
                    </w:trPr>
                    <w:tc>
                      <w:tcPr>
                        <w:tcW w:w="675" w:type="dxa"/>
                        <w:vMerge w:val="restart"/>
                      </w:tcPr>
                      <w:p>
                        <w:pPr>
                          <w:pStyle w:val="9"/>
                          <w:rPr>
                            <w:rFonts w:ascii="Microsoft JhengHei"/>
                            <w:b/>
                            <w:sz w:val="18"/>
                          </w:rPr>
                        </w:pPr>
                      </w:p>
                      <w:p>
                        <w:pPr>
                          <w:pStyle w:val="9"/>
                          <w:rPr>
                            <w:rFonts w:ascii="Microsoft JhengHei"/>
                            <w:b/>
                            <w:sz w:val="18"/>
                          </w:rPr>
                        </w:pPr>
                      </w:p>
                      <w:p>
                        <w:pPr>
                          <w:pStyle w:val="9"/>
                          <w:spacing w:before="14"/>
                          <w:rPr>
                            <w:rFonts w:ascii="Microsoft JhengHei"/>
                            <w:b/>
                            <w:sz w:val="17"/>
                          </w:rPr>
                        </w:pPr>
                      </w:p>
                      <w:p>
                        <w:pPr>
                          <w:pStyle w:val="9"/>
                          <w:spacing w:line="374" w:lineRule="auto"/>
                          <w:ind w:left="157" w:right="145"/>
                          <w:rPr>
                            <w:sz w:val="18"/>
                          </w:rPr>
                        </w:pPr>
                        <w:r>
                          <w:rPr>
                            <w:sz w:val="18"/>
                          </w:rPr>
                          <w:t>引入管道</w:t>
                        </w:r>
                      </w:p>
                    </w:tc>
                    <w:tc>
                      <w:tcPr>
                        <w:tcW w:w="993" w:type="dxa"/>
                      </w:tcPr>
                      <w:p>
                        <w:pPr>
                          <w:pStyle w:val="9"/>
                          <w:spacing w:before="14"/>
                          <w:rPr>
                            <w:rFonts w:ascii="Microsoft JhengHei"/>
                            <w:b/>
                            <w:sz w:val="13"/>
                          </w:rPr>
                        </w:pPr>
                      </w:p>
                      <w:p>
                        <w:pPr>
                          <w:pStyle w:val="9"/>
                          <w:spacing w:before="1"/>
                          <w:ind w:left="136"/>
                          <w:rPr>
                            <w:sz w:val="18"/>
                          </w:rPr>
                        </w:pPr>
                        <w:r>
                          <w:rPr>
                            <w:sz w:val="18"/>
                          </w:rPr>
                          <w:t>至设备间</w:t>
                        </w:r>
                      </w:p>
                    </w:tc>
                    <w:tc>
                      <w:tcPr>
                        <w:tcW w:w="1414" w:type="dxa"/>
                      </w:tcPr>
                      <w:p>
                        <w:pPr>
                          <w:pStyle w:val="9"/>
                          <w:spacing w:before="14"/>
                          <w:rPr>
                            <w:rFonts w:ascii="Microsoft JhengHei"/>
                            <w:b/>
                            <w:sz w:val="13"/>
                          </w:rPr>
                        </w:pPr>
                      </w:p>
                      <w:p>
                        <w:pPr>
                          <w:pStyle w:val="9"/>
                          <w:spacing w:before="1"/>
                          <w:ind w:left="147" w:right="137"/>
                          <w:jc w:val="center"/>
                          <w:rPr>
                            <w:sz w:val="18"/>
                          </w:rPr>
                        </w:pPr>
                        <w:r>
                          <w:rPr>
                            <w:sz w:val="18"/>
                          </w:rPr>
                          <w:t>6孔及6孔以下</w:t>
                        </w:r>
                      </w:p>
                    </w:tc>
                    <w:tc>
                      <w:tcPr>
                        <w:tcW w:w="1058" w:type="dxa"/>
                      </w:tcPr>
                      <w:p>
                        <w:pPr>
                          <w:pStyle w:val="9"/>
                          <w:spacing w:before="14"/>
                          <w:rPr>
                            <w:rFonts w:ascii="Microsoft JhengHei"/>
                            <w:b/>
                            <w:sz w:val="13"/>
                          </w:rPr>
                        </w:pPr>
                      </w:p>
                      <w:p>
                        <w:pPr>
                          <w:pStyle w:val="9"/>
                          <w:spacing w:before="1"/>
                          <w:ind w:right="338"/>
                          <w:jc w:val="right"/>
                          <w:rPr>
                            <w:sz w:val="18"/>
                          </w:rPr>
                        </w:pPr>
                        <w:r>
                          <w:rPr>
                            <w:sz w:val="18"/>
                          </w:rPr>
                          <w:t>1120</w:t>
                        </w:r>
                      </w:p>
                    </w:tc>
                    <w:tc>
                      <w:tcPr>
                        <w:tcW w:w="1038" w:type="dxa"/>
                      </w:tcPr>
                      <w:p>
                        <w:pPr>
                          <w:pStyle w:val="9"/>
                          <w:spacing w:before="14"/>
                          <w:rPr>
                            <w:rFonts w:ascii="Microsoft JhengHei"/>
                            <w:b/>
                            <w:sz w:val="13"/>
                          </w:rPr>
                        </w:pPr>
                      </w:p>
                      <w:p>
                        <w:pPr>
                          <w:pStyle w:val="9"/>
                          <w:spacing w:before="1"/>
                          <w:ind w:left="364" w:right="354"/>
                          <w:jc w:val="center"/>
                          <w:rPr>
                            <w:sz w:val="18"/>
                          </w:rPr>
                        </w:pPr>
                        <w:r>
                          <w:rPr>
                            <w:sz w:val="18"/>
                          </w:rPr>
                          <w:t>700</w:t>
                        </w:r>
                      </w:p>
                    </w:tc>
                    <w:tc>
                      <w:tcPr>
                        <w:tcW w:w="1038" w:type="dxa"/>
                      </w:tcPr>
                      <w:p>
                        <w:pPr>
                          <w:pStyle w:val="9"/>
                          <w:spacing w:before="14"/>
                          <w:rPr>
                            <w:rFonts w:ascii="Microsoft JhengHei"/>
                            <w:b/>
                            <w:sz w:val="13"/>
                          </w:rPr>
                        </w:pPr>
                      </w:p>
                      <w:p>
                        <w:pPr>
                          <w:pStyle w:val="9"/>
                          <w:spacing w:before="1"/>
                          <w:ind w:right="417"/>
                          <w:jc w:val="right"/>
                          <w:rPr>
                            <w:sz w:val="18"/>
                          </w:rPr>
                        </w:pPr>
                        <w:r>
                          <w:rPr>
                            <w:sz w:val="18"/>
                          </w:rPr>
                          <w:t>注</w:t>
                        </w:r>
                      </w:p>
                    </w:tc>
                    <w:tc>
                      <w:tcPr>
                        <w:tcW w:w="2306" w:type="dxa"/>
                        <w:vMerge w:val="restart"/>
                      </w:tcPr>
                      <w:p>
                        <w:pPr>
                          <w:pStyle w:val="9"/>
                          <w:rPr>
                            <w:rFonts w:ascii="Microsoft JhengHei"/>
                            <w:b/>
                            <w:sz w:val="18"/>
                          </w:rPr>
                        </w:pPr>
                      </w:p>
                      <w:p>
                        <w:pPr>
                          <w:pStyle w:val="9"/>
                          <w:spacing w:before="12"/>
                          <w:rPr>
                            <w:rFonts w:ascii="Microsoft JhengHei"/>
                            <w:b/>
                            <w:sz w:val="15"/>
                          </w:rPr>
                        </w:pPr>
                      </w:p>
                      <w:p>
                        <w:pPr>
                          <w:pStyle w:val="9"/>
                          <w:ind w:left="107"/>
                          <w:rPr>
                            <w:sz w:val="18"/>
                          </w:rPr>
                        </w:pPr>
                        <w:r>
                          <w:rPr>
                            <w:sz w:val="18"/>
                          </w:rPr>
                          <w:t>用于线缆接续及管道分支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0" w:hRule="atLeast"/>
                    </w:trPr>
                    <w:tc>
                      <w:tcPr>
                        <w:tcW w:w="675" w:type="dxa"/>
                        <w:vMerge w:val="continue"/>
                        <w:tcBorders>
                          <w:top w:val="nil"/>
                        </w:tcBorders>
                      </w:tcPr>
                      <w:p>
                        <w:pPr>
                          <w:rPr>
                            <w:sz w:val="2"/>
                            <w:szCs w:val="2"/>
                          </w:rPr>
                        </w:pPr>
                      </w:p>
                    </w:tc>
                    <w:tc>
                      <w:tcPr>
                        <w:tcW w:w="993" w:type="dxa"/>
                      </w:tcPr>
                      <w:p>
                        <w:pPr>
                          <w:pStyle w:val="9"/>
                          <w:spacing w:line="360" w:lineRule="atLeast"/>
                          <w:ind w:left="226" w:right="214"/>
                          <w:rPr>
                            <w:sz w:val="18"/>
                          </w:rPr>
                        </w:pPr>
                        <w:r>
                          <w:rPr>
                            <w:sz w:val="18"/>
                          </w:rPr>
                          <w:t>至光缆交接箱</w:t>
                        </w:r>
                      </w:p>
                    </w:tc>
                    <w:tc>
                      <w:tcPr>
                        <w:tcW w:w="1414" w:type="dxa"/>
                      </w:tcPr>
                      <w:p>
                        <w:pPr>
                          <w:pStyle w:val="9"/>
                          <w:spacing w:before="15"/>
                          <w:rPr>
                            <w:rFonts w:ascii="Microsoft JhengHei"/>
                            <w:b/>
                            <w:sz w:val="16"/>
                          </w:rPr>
                        </w:pPr>
                      </w:p>
                      <w:p>
                        <w:pPr>
                          <w:pStyle w:val="9"/>
                          <w:ind w:left="147" w:right="137"/>
                          <w:jc w:val="center"/>
                          <w:rPr>
                            <w:sz w:val="18"/>
                          </w:rPr>
                        </w:pPr>
                        <w:r>
                          <w:rPr>
                            <w:sz w:val="18"/>
                          </w:rPr>
                          <w:t>3孔及3孔以下</w:t>
                        </w:r>
                      </w:p>
                    </w:tc>
                    <w:tc>
                      <w:tcPr>
                        <w:tcW w:w="1058" w:type="dxa"/>
                      </w:tcPr>
                      <w:p>
                        <w:pPr>
                          <w:pStyle w:val="9"/>
                          <w:spacing w:before="15"/>
                          <w:rPr>
                            <w:rFonts w:ascii="Microsoft JhengHei"/>
                            <w:b/>
                            <w:sz w:val="16"/>
                          </w:rPr>
                        </w:pPr>
                      </w:p>
                      <w:p>
                        <w:pPr>
                          <w:pStyle w:val="9"/>
                          <w:ind w:right="383"/>
                          <w:jc w:val="right"/>
                          <w:rPr>
                            <w:sz w:val="18"/>
                          </w:rPr>
                        </w:pPr>
                        <w:r>
                          <w:rPr>
                            <w:sz w:val="18"/>
                          </w:rPr>
                          <w:t>700</w:t>
                        </w:r>
                      </w:p>
                    </w:tc>
                    <w:tc>
                      <w:tcPr>
                        <w:tcW w:w="1038" w:type="dxa"/>
                      </w:tcPr>
                      <w:p>
                        <w:pPr>
                          <w:pStyle w:val="9"/>
                          <w:spacing w:before="15"/>
                          <w:rPr>
                            <w:rFonts w:ascii="Microsoft JhengHei"/>
                            <w:b/>
                            <w:sz w:val="16"/>
                          </w:rPr>
                        </w:pPr>
                      </w:p>
                      <w:p>
                        <w:pPr>
                          <w:pStyle w:val="9"/>
                          <w:ind w:left="364" w:right="354"/>
                          <w:jc w:val="center"/>
                          <w:rPr>
                            <w:sz w:val="18"/>
                          </w:rPr>
                        </w:pPr>
                        <w:r>
                          <w:rPr>
                            <w:sz w:val="18"/>
                          </w:rPr>
                          <w:t>500</w:t>
                        </w:r>
                      </w:p>
                    </w:tc>
                    <w:tc>
                      <w:tcPr>
                        <w:tcW w:w="1038" w:type="dxa"/>
                      </w:tcPr>
                      <w:p>
                        <w:pPr>
                          <w:pStyle w:val="9"/>
                          <w:spacing w:before="15"/>
                          <w:rPr>
                            <w:rFonts w:ascii="Microsoft JhengHei"/>
                            <w:b/>
                            <w:sz w:val="16"/>
                          </w:rPr>
                        </w:pPr>
                      </w:p>
                      <w:p>
                        <w:pPr>
                          <w:pStyle w:val="9"/>
                          <w:ind w:right="372"/>
                          <w:jc w:val="right"/>
                          <w:rPr>
                            <w:sz w:val="18"/>
                          </w:rPr>
                        </w:pPr>
                        <w:r>
                          <w:rPr>
                            <w:sz w:val="18"/>
                          </w:rPr>
                          <w:t>800</w:t>
                        </w:r>
                      </w:p>
                    </w:tc>
                    <w:tc>
                      <w:tcPr>
                        <w:tcW w:w="2306" w:type="dxa"/>
                        <w:vMerge w:val="continue"/>
                        <w:tcBorders>
                          <w:top w:val="nil"/>
                        </w:tcBorders>
                      </w:tcPr>
                      <w:p>
                        <w:pPr>
                          <w:rPr>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0" w:hRule="atLeast"/>
                    </w:trPr>
                    <w:tc>
                      <w:tcPr>
                        <w:tcW w:w="675" w:type="dxa"/>
                        <w:vMerge w:val="continue"/>
                        <w:tcBorders>
                          <w:top w:val="nil"/>
                        </w:tcBorders>
                      </w:tcPr>
                      <w:p>
                        <w:pPr>
                          <w:rPr>
                            <w:sz w:val="2"/>
                            <w:szCs w:val="2"/>
                          </w:rPr>
                        </w:pPr>
                      </w:p>
                    </w:tc>
                    <w:tc>
                      <w:tcPr>
                        <w:tcW w:w="2407" w:type="dxa"/>
                        <w:gridSpan w:val="2"/>
                      </w:tcPr>
                      <w:p>
                        <w:pPr>
                          <w:pStyle w:val="9"/>
                          <w:spacing w:before="129" w:line="211" w:lineRule="exact"/>
                          <w:ind w:left="483"/>
                          <w:rPr>
                            <w:sz w:val="18"/>
                          </w:rPr>
                        </w:pPr>
                        <w:r>
                          <w:rPr>
                            <w:sz w:val="18"/>
                          </w:rPr>
                          <w:t>至高层住宅电信间</w:t>
                        </w:r>
                      </w:p>
                    </w:tc>
                    <w:tc>
                      <w:tcPr>
                        <w:tcW w:w="1058" w:type="dxa"/>
                      </w:tcPr>
                      <w:p>
                        <w:pPr>
                          <w:pStyle w:val="9"/>
                          <w:spacing w:before="129" w:line="211" w:lineRule="exact"/>
                          <w:ind w:right="338"/>
                          <w:jc w:val="right"/>
                          <w:rPr>
                            <w:sz w:val="18"/>
                          </w:rPr>
                        </w:pPr>
                        <w:r>
                          <w:rPr>
                            <w:sz w:val="18"/>
                          </w:rPr>
                          <w:t>1120</w:t>
                        </w:r>
                      </w:p>
                    </w:tc>
                    <w:tc>
                      <w:tcPr>
                        <w:tcW w:w="1038" w:type="dxa"/>
                      </w:tcPr>
                      <w:p>
                        <w:pPr>
                          <w:pStyle w:val="9"/>
                          <w:spacing w:before="129" w:line="211" w:lineRule="exact"/>
                          <w:ind w:left="364" w:right="354"/>
                          <w:jc w:val="center"/>
                          <w:rPr>
                            <w:sz w:val="18"/>
                          </w:rPr>
                        </w:pPr>
                        <w:r>
                          <w:rPr>
                            <w:sz w:val="18"/>
                          </w:rPr>
                          <w:t>700</w:t>
                        </w:r>
                      </w:p>
                    </w:tc>
                    <w:tc>
                      <w:tcPr>
                        <w:tcW w:w="1038" w:type="dxa"/>
                      </w:tcPr>
                      <w:p>
                        <w:pPr>
                          <w:pStyle w:val="9"/>
                          <w:spacing w:before="129" w:line="211" w:lineRule="exact"/>
                          <w:ind w:right="417"/>
                          <w:jc w:val="right"/>
                          <w:rPr>
                            <w:sz w:val="18"/>
                          </w:rPr>
                        </w:pPr>
                        <w:r>
                          <w:rPr>
                            <w:sz w:val="18"/>
                          </w:rPr>
                          <w:t>注</w:t>
                        </w:r>
                      </w:p>
                    </w:tc>
                    <w:tc>
                      <w:tcPr>
                        <w:tcW w:w="2306" w:type="dxa"/>
                        <w:vMerge w:val="restart"/>
                      </w:tcPr>
                      <w:p>
                        <w:pPr>
                          <w:pStyle w:val="9"/>
                          <w:spacing w:before="16"/>
                          <w:rPr>
                            <w:rFonts w:ascii="Microsoft JhengHei"/>
                            <w:b/>
                            <w:sz w:val="26"/>
                          </w:rPr>
                        </w:pPr>
                      </w:p>
                      <w:p>
                        <w:pPr>
                          <w:pStyle w:val="9"/>
                          <w:ind w:left="107"/>
                          <w:rPr>
                            <w:sz w:val="18"/>
                          </w:rPr>
                        </w:pPr>
                        <w:r>
                          <w:rPr>
                            <w:sz w:val="18"/>
                          </w:rPr>
                          <w:t>用于线缆过线和引入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0" w:hRule="atLeast"/>
                    </w:trPr>
                    <w:tc>
                      <w:tcPr>
                        <w:tcW w:w="675" w:type="dxa"/>
                        <w:vMerge w:val="continue"/>
                        <w:tcBorders>
                          <w:top w:val="nil"/>
                        </w:tcBorders>
                      </w:tcPr>
                      <w:p>
                        <w:pPr>
                          <w:rPr>
                            <w:sz w:val="2"/>
                            <w:szCs w:val="2"/>
                          </w:rPr>
                        </w:pPr>
                      </w:p>
                    </w:tc>
                    <w:tc>
                      <w:tcPr>
                        <w:tcW w:w="2407" w:type="dxa"/>
                        <w:gridSpan w:val="2"/>
                      </w:tcPr>
                      <w:p>
                        <w:pPr>
                          <w:pStyle w:val="9"/>
                          <w:spacing w:line="360" w:lineRule="atLeast"/>
                          <w:ind w:left="753" w:right="291" w:hanging="450"/>
                          <w:rPr>
                            <w:sz w:val="18"/>
                          </w:rPr>
                        </w:pPr>
                        <w:r>
                          <w:rPr>
                            <w:sz w:val="18"/>
                          </w:rPr>
                          <w:t>至低层、多层、中高层住宅电信间</w:t>
                        </w:r>
                      </w:p>
                    </w:tc>
                    <w:tc>
                      <w:tcPr>
                        <w:tcW w:w="1058" w:type="dxa"/>
                      </w:tcPr>
                      <w:p>
                        <w:pPr>
                          <w:pStyle w:val="9"/>
                          <w:spacing w:before="15"/>
                          <w:rPr>
                            <w:rFonts w:ascii="Microsoft JhengHei"/>
                            <w:b/>
                            <w:sz w:val="16"/>
                          </w:rPr>
                        </w:pPr>
                      </w:p>
                      <w:p>
                        <w:pPr>
                          <w:pStyle w:val="9"/>
                          <w:ind w:right="338"/>
                          <w:jc w:val="right"/>
                          <w:rPr>
                            <w:sz w:val="18"/>
                          </w:rPr>
                        </w:pPr>
                        <w:r>
                          <w:rPr>
                            <w:sz w:val="18"/>
                          </w:rPr>
                          <w:t>1120</w:t>
                        </w:r>
                      </w:p>
                    </w:tc>
                    <w:tc>
                      <w:tcPr>
                        <w:tcW w:w="1038" w:type="dxa"/>
                      </w:tcPr>
                      <w:p>
                        <w:pPr>
                          <w:pStyle w:val="9"/>
                          <w:spacing w:before="15"/>
                          <w:rPr>
                            <w:rFonts w:ascii="Microsoft JhengHei"/>
                            <w:b/>
                            <w:sz w:val="16"/>
                          </w:rPr>
                        </w:pPr>
                      </w:p>
                      <w:p>
                        <w:pPr>
                          <w:pStyle w:val="9"/>
                          <w:ind w:left="364" w:right="354"/>
                          <w:jc w:val="center"/>
                          <w:rPr>
                            <w:sz w:val="18"/>
                          </w:rPr>
                        </w:pPr>
                        <w:r>
                          <w:rPr>
                            <w:sz w:val="18"/>
                          </w:rPr>
                          <w:t>700</w:t>
                        </w:r>
                      </w:p>
                    </w:tc>
                    <w:tc>
                      <w:tcPr>
                        <w:tcW w:w="1038" w:type="dxa"/>
                      </w:tcPr>
                      <w:p>
                        <w:pPr>
                          <w:pStyle w:val="9"/>
                          <w:spacing w:before="15"/>
                          <w:rPr>
                            <w:rFonts w:ascii="Microsoft JhengHei"/>
                            <w:b/>
                            <w:sz w:val="16"/>
                          </w:rPr>
                        </w:pPr>
                      </w:p>
                      <w:p>
                        <w:pPr>
                          <w:pStyle w:val="9"/>
                          <w:ind w:right="417"/>
                          <w:jc w:val="right"/>
                          <w:rPr>
                            <w:sz w:val="18"/>
                          </w:rPr>
                        </w:pPr>
                        <w:r>
                          <w:rPr>
                            <w:sz w:val="18"/>
                          </w:rPr>
                          <w:t>注</w:t>
                        </w:r>
                      </w:p>
                    </w:tc>
                    <w:tc>
                      <w:tcPr>
                        <w:tcW w:w="2306" w:type="dxa"/>
                        <w:vMerge w:val="continue"/>
                        <w:tcBorders>
                          <w:top w:val="nil"/>
                        </w:tcBorders>
                      </w:tcPr>
                      <w:p>
                        <w:pPr>
                          <w:rPr>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42" w:hRule="atLeast"/>
                    </w:trPr>
                    <w:tc>
                      <w:tcPr>
                        <w:tcW w:w="675" w:type="dxa"/>
                      </w:tcPr>
                      <w:p>
                        <w:pPr>
                          <w:pStyle w:val="9"/>
                          <w:spacing w:before="61" w:line="360" w:lineRule="atLeast"/>
                          <w:ind w:left="157" w:right="145"/>
                          <w:rPr>
                            <w:sz w:val="18"/>
                          </w:rPr>
                        </w:pPr>
                        <w:r>
                          <w:rPr>
                            <w:sz w:val="18"/>
                          </w:rPr>
                          <w:t>衔接手孔</w:t>
                        </w:r>
                      </w:p>
                    </w:tc>
                    <w:tc>
                      <w:tcPr>
                        <w:tcW w:w="2407" w:type="dxa"/>
                        <w:gridSpan w:val="2"/>
                      </w:tcPr>
                      <w:p>
                        <w:pPr>
                          <w:pStyle w:val="9"/>
                          <w:spacing w:before="61" w:line="360" w:lineRule="atLeast"/>
                          <w:ind w:left="573" w:right="561" w:firstLine="90"/>
                          <w:rPr>
                            <w:sz w:val="18"/>
                          </w:rPr>
                        </w:pPr>
                        <w:r>
                          <w:rPr>
                            <w:sz w:val="18"/>
                          </w:rPr>
                          <w:t>与公用通信网管道相通的手孔</w:t>
                        </w:r>
                      </w:p>
                    </w:tc>
                    <w:tc>
                      <w:tcPr>
                        <w:tcW w:w="1058" w:type="dxa"/>
                      </w:tcPr>
                      <w:p>
                        <w:pPr>
                          <w:pStyle w:val="9"/>
                          <w:spacing w:before="2"/>
                          <w:rPr>
                            <w:rFonts w:ascii="Microsoft JhengHei"/>
                            <w:b/>
                            <w:sz w:val="20"/>
                          </w:rPr>
                        </w:pPr>
                      </w:p>
                      <w:p>
                        <w:pPr>
                          <w:pStyle w:val="9"/>
                          <w:ind w:right="338"/>
                          <w:jc w:val="right"/>
                          <w:rPr>
                            <w:sz w:val="18"/>
                          </w:rPr>
                        </w:pPr>
                        <w:r>
                          <w:rPr>
                            <w:sz w:val="18"/>
                          </w:rPr>
                          <w:t>1120</w:t>
                        </w:r>
                      </w:p>
                    </w:tc>
                    <w:tc>
                      <w:tcPr>
                        <w:tcW w:w="1038" w:type="dxa"/>
                      </w:tcPr>
                      <w:p>
                        <w:pPr>
                          <w:pStyle w:val="9"/>
                          <w:spacing w:before="2"/>
                          <w:rPr>
                            <w:rFonts w:ascii="Microsoft JhengHei"/>
                            <w:b/>
                            <w:sz w:val="20"/>
                          </w:rPr>
                        </w:pPr>
                      </w:p>
                      <w:p>
                        <w:pPr>
                          <w:pStyle w:val="9"/>
                          <w:ind w:left="364" w:right="354"/>
                          <w:jc w:val="center"/>
                          <w:rPr>
                            <w:sz w:val="18"/>
                          </w:rPr>
                        </w:pPr>
                        <w:r>
                          <w:rPr>
                            <w:sz w:val="18"/>
                          </w:rPr>
                          <w:t>700</w:t>
                        </w:r>
                      </w:p>
                    </w:tc>
                    <w:tc>
                      <w:tcPr>
                        <w:tcW w:w="1038" w:type="dxa"/>
                      </w:tcPr>
                      <w:p>
                        <w:pPr>
                          <w:pStyle w:val="9"/>
                          <w:spacing w:before="2"/>
                          <w:rPr>
                            <w:rFonts w:ascii="Microsoft JhengHei"/>
                            <w:b/>
                            <w:sz w:val="20"/>
                          </w:rPr>
                        </w:pPr>
                      </w:p>
                      <w:p>
                        <w:pPr>
                          <w:pStyle w:val="9"/>
                          <w:ind w:right="327"/>
                          <w:jc w:val="right"/>
                          <w:rPr>
                            <w:sz w:val="18"/>
                          </w:rPr>
                        </w:pPr>
                        <w:r>
                          <w:rPr>
                            <w:sz w:val="18"/>
                          </w:rPr>
                          <w:t>1000</w:t>
                        </w:r>
                      </w:p>
                    </w:tc>
                    <w:tc>
                      <w:tcPr>
                        <w:tcW w:w="2306" w:type="dxa"/>
                      </w:tcPr>
                      <w:p>
                        <w:pPr>
                          <w:pStyle w:val="9"/>
                          <w:spacing w:before="61" w:line="360" w:lineRule="atLeast"/>
                          <w:ind w:left="792" w:right="151" w:hanging="630"/>
                          <w:rPr>
                            <w:sz w:val="18"/>
                          </w:rPr>
                        </w:pPr>
                        <w:r>
                          <w:rPr>
                            <w:sz w:val="18"/>
                          </w:rPr>
                          <w:t>用于衔接电信业务经营者通信管道</w:t>
                        </w:r>
                      </w:p>
                    </w:tc>
                  </w:tr>
                </w:tbl>
                <w:p>
                  <w:pPr>
                    <w:pStyle w:val="2"/>
                  </w:pPr>
                </w:p>
              </w:txbxContent>
            </v:textbox>
          </v:shape>
        </w:pict>
      </w:r>
      <w:r>
        <w:rPr>
          <w:rFonts w:hint="eastAsia" w:ascii="Microsoft JhengHei" w:eastAsia="Microsoft JhengHei"/>
          <w:b/>
          <w:sz w:val="18"/>
        </w:rPr>
        <w:t>通信管道手孔程式表</w:t>
      </w:r>
    </w:p>
    <w:p>
      <w:pPr>
        <w:pStyle w:val="2"/>
        <w:rPr>
          <w:rFonts w:ascii="Microsoft JhengHei"/>
          <w:b/>
          <w:sz w:val="18"/>
        </w:rPr>
      </w:pPr>
    </w:p>
    <w:p>
      <w:pPr>
        <w:pStyle w:val="2"/>
        <w:rPr>
          <w:rFonts w:ascii="Microsoft JhengHei"/>
          <w:b/>
          <w:sz w:val="18"/>
        </w:rPr>
      </w:pPr>
    </w:p>
    <w:p>
      <w:pPr>
        <w:pStyle w:val="2"/>
        <w:rPr>
          <w:rFonts w:ascii="Microsoft JhengHei"/>
          <w:b/>
          <w:sz w:val="18"/>
        </w:rPr>
      </w:pPr>
    </w:p>
    <w:p>
      <w:pPr>
        <w:pStyle w:val="2"/>
        <w:rPr>
          <w:rFonts w:ascii="Microsoft JhengHei"/>
          <w:b/>
          <w:sz w:val="18"/>
        </w:rPr>
      </w:pPr>
    </w:p>
    <w:p>
      <w:pPr>
        <w:pStyle w:val="2"/>
        <w:rPr>
          <w:rFonts w:ascii="Microsoft JhengHei"/>
          <w:b/>
          <w:sz w:val="18"/>
        </w:rPr>
      </w:pPr>
    </w:p>
    <w:p>
      <w:pPr>
        <w:pStyle w:val="2"/>
        <w:rPr>
          <w:rFonts w:ascii="Microsoft JhengHei"/>
          <w:b/>
          <w:sz w:val="18"/>
        </w:rPr>
      </w:pPr>
    </w:p>
    <w:p>
      <w:pPr>
        <w:pStyle w:val="2"/>
        <w:rPr>
          <w:rFonts w:ascii="Microsoft JhengHei"/>
          <w:b/>
          <w:sz w:val="18"/>
        </w:rPr>
      </w:pPr>
    </w:p>
    <w:p>
      <w:pPr>
        <w:pStyle w:val="2"/>
        <w:rPr>
          <w:rFonts w:ascii="Microsoft JhengHei"/>
          <w:b/>
          <w:sz w:val="18"/>
        </w:rPr>
      </w:pPr>
    </w:p>
    <w:p>
      <w:pPr>
        <w:pStyle w:val="2"/>
        <w:rPr>
          <w:rFonts w:ascii="Microsoft JhengHei"/>
          <w:b/>
          <w:sz w:val="18"/>
        </w:rPr>
      </w:pPr>
    </w:p>
    <w:p>
      <w:pPr>
        <w:pStyle w:val="2"/>
        <w:rPr>
          <w:rFonts w:ascii="Microsoft JhengHei"/>
          <w:b/>
          <w:sz w:val="18"/>
        </w:rPr>
      </w:pPr>
    </w:p>
    <w:p>
      <w:pPr>
        <w:pStyle w:val="2"/>
        <w:rPr>
          <w:rFonts w:ascii="Microsoft JhengHei"/>
          <w:b/>
          <w:sz w:val="18"/>
        </w:rPr>
      </w:pPr>
    </w:p>
    <w:p>
      <w:pPr>
        <w:pStyle w:val="2"/>
        <w:rPr>
          <w:rFonts w:ascii="Microsoft JhengHei"/>
          <w:b/>
          <w:sz w:val="18"/>
        </w:rPr>
      </w:pPr>
    </w:p>
    <w:p>
      <w:pPr>
        <w:pStyle w:val="2"/>
        <w:rPr>
          <w:rFonts w:ascii="Microsoft JhengHei"/>
          <w:b/>
          <w:sz w:val="18"/>
        </w:rPr>
      </w:pPr>
    </w:p>
    <w:p>
      <w:pPr>
        <w:pStyle w:val="2"/>
        <w:rPr>
          <w:rFonts w:ascii="Microsoft JhengHei"/>
          <w:b/>
          <w:sz w:val="18"/>
        </w:rPr>
      </w:pPr>
    </w:p>
    <w:p>
      <w:pPr>
        <w:pStyle w:val="2"/>
        <w:rPr>
          <w:rFonts w:ascii="Microsoft JhengHei"/>
          <w:b/>
          <w:sz w:val="18"/>
        </w:rPr>
      </w:pPr>
    </w:p>
    <w:p>
      <w:pPr>
        <w:pStyle w:val="2"/>
        <w:spacing w:before="5"/>
        <w:rPr>
          <w:rFonts w:ascii="Microsoft JhengHei"/>
          <w:b/>
          <w:sz w:val="17"/>
        </w:rPr>
      </w:pPr>
    </w:p>
    <w:p>
      <w:pPr>
        <w:spacing w:before="0" w:line="208" w:lineRule="exact"/>
        <w:ind w:left="228" w:right="0" w:firstLine="0"/>
        <w:jc w:val="left"/>
        <w:rPr>
          <w:sz w:val="18"/>
        </w:rPr>
      </w:pPr>
      <w:r>
        <w:rPr>
          <w:sz w:val="18"/>
        </w:rPr>
        <w:t>注： 根据引入管的埋深调节手孔的净深与高度。</w:t>
      </w:r>
    </w:p>
    <w:p>
      <w:pPr>
        <w:pStyle w:val="8"/>
        <w:numPr>
          <w:ilvl w:val="0"/>
          <w:numId w:val="0"/>
        </w:numPr>
        <w:tabs>
          <w:tab w:val="left" w:pos="1065"/>
        </w:tabs>
        <w:spacing w:before="0" w:after="0" w:line="326" w:lineRule="exact"/>
        <w:ind w:left="535" w:leftChars="0" w:right="0" w:rightChars="0"/>
        <w:jc w:val="left"/>
        <w:rPr>
          <w:sz w:val="21"/>
        </w:rPr>
      </w:pPr>
    </w:p>
    <w:p>
      <w:pPr>
        <w:pStyle w:val="8"/>
        <w:numPr>
          <w:ilvl w:val="0"/>
          <w:numId w:val="1"/>
        </w:numPr>
        <w:tabs>
          <w:tab w:val="left" w:pos="1065"/>
        </w:tabs>
        <w:spacing w:before="0" w:after="0" w:line="326" w:lineRule="exact"/>
        <w:ind w:left="1064" w:right="0" w:hanging="529"/>
        <w:jc w:val="left"/>
        <w:rPr>
          <w:sz w:val="21"/>
        </w:rPr>
      </w:pPr>
      <w:r>
        <w:rPr>
          <w:sz w:val="21"/>
        </w:rPr>
        <w:t>人（手）孔应设置配套的金属构件。</w:t>
      </w:r>
    </w:p>
    <w:p>
      <w:pPr>
        <w:spacing w:before="0" w:line="347" w:lineRule="exact"/>
        <w:ind w:left="228" w:right="0" w:firstLine="0"/>
        <w:jc w:val="left"/>
        <w:rPr>
          <w:rFonts w:hint="eastAsia" w:ascii="Microsoft JhengHei" w:eastAsia="Microsoft JhengHei"/>
          <w:b/>
          <w:sz w:val="21"/>
        </w:rPr>
      </w:pPr>
      <w:r>
        <w:rPr>
          <w:rFonts w:hint="eastAsia" w:ascii="Microsoft JhengHei" w:eastAsia="Microsoft JhengHei"/>
          <w:b/>
          <w:sz w:val="21"/>
        </w:rPr>
        <w:t>3、隐蔽工程</w:t>
      </w:r>
    </w:p>
    <w:p>
      <w:pPr>
        <w:spacing w:before="0" w:line="253" w:lineRule="exact"/>
        <w:ind w:left="536" w:right="0" w:firstLine="0"/>
        <w:jc w:val="left"/>
        <w:rPr>
          <w:sz w:val="21"/>
        </w:rPr>
      </w:pPr>
      <w:r>
        <w:rPr>
          <w:sz w:val="21"/>
        </w:rPr>
        <w:t>应委托具备相关资质的监理公司随工检验并在竣工验收时提供隐蔽工程签证记录。</w:t>
      </w:r>
    </w:p>
    <w:p>
      <w:pPr>
        <w:spacing w:before="0" w:line="371" w:lineRule="exact"/>
        <w:ind w:left="228" w:right="0" w:firstLine="0"/>
        <w:jc w:val="left"/>
        <w:rPr>
          <w:rFonts w:hint="eastAsia" w:ascii="Microsoft JhengHei" w:eastAsia="Microsoft JhengHei"/>
          <w:b/>
          <w:sz w:val="21"/>
        </w:rPr>
      </w:pPr>
      <w:r>
        <w:rPr>
          <w:rFonts w:hint="eastAsia" w:ascii="Microsoft JhengHei" w:eastAsia="Microsoft JhengHei"/>
          <w:b/>
          <w:sz w:val="21"/>
        </w:rPr>
        <w:t>二、室外光缆交接箱</w:t>
      </w:r>
    </w:p>
    <w:p>
      <w:pPr>
        <w:spacing w:before="0" w:line="267" w:lineRule="exact"/>
        <w:ind w:left="228" w:right="0" w:firstLine="0"/>
        <w:jc w:val="left"/>
        <w:rPr>
          <w:sz w:val="21"/>
        </w:rPr>
      </w:pPr>
      <w:r>
        <w:rPr>
          <w:sz w:val="21"/>
        </w:rPr>
        <w:t>1、光缆交接箱底座高度不应小于 300mm，长 X 宽不应小于 800mmX400mm</w:t>
      </w:r>
    </w:p>
    <w:p>
      <w:pPr>
        <w:spacing w:before="43"/>
        <w:ind w:left="228" w:right="0" w:firstLine="0"/>
        <w:jc w:val="left"/>
        <w:rPr>
          <w:sz w:val="21"/>
        </w:rPr>
      </w:pPr>
      <w:r>
        <w:rPr>
          <w:sz w:val="21"/>
        </w:rPr>
        <w:t>2、光缆交接箱应有光分路器安装位置，有光缆终接、保护和跳纤的位置。</w:t>
      </w:r>
    </w:p>
    <w:p>
      <w:pPr>
        <w:spacing w:before="43" w:line="256" w:lineRule="exact"/>
        <w:ind w:left="228" w:right="0" w:firstLine="0"/>
        <w:jc w:val="left"/>
        <w:rPr>
          <w:sz w:val="21"/>
        </w:rPr>
      </w:pPr>
      <w:r>
        <w:rPr>
          <w:sz w:val="21"/>
        </w:rPr>
        <w:t>3、光缆交接箱容量应满足至少三家电信业务经营者接入需要。</w:t>
      </w:r>
    </w:p>
    <w:p>
      <w:pPr>
        <w:spacing w:before="0" w:line="373" w:lineRule="exact"/>
        <w:ind w:left="228" w:right="0" w:firstLine="0"/>
        <w:jc w:val="left"/>
        <w:rPr>
          <w:rFonts w:hint="eastAsia" w:ascii="Microsoft JhengHei" w:eastAsia="Microsoft JhengHei"/>
          <w:b/>
          <w:sz w:val="21"/>
        </w:rPr>
      </w:pPr>
      <w:r>
        <w:rPr>
          <w:rFonts w:hint="eastAsia" w:ascii="Microsoft JhengHei" w:eastAsia="Microsoft JhengHei"/>
          <w:b/>
          <w:sz w:val="21"/>
        </w:rPr>
        <w:t>三、室内配线设备</w:t>
      </w:r>
    </w:p>
    <w:p>
      <w:pPr>
        <w:spacing w:after="0" w:line="373" w:lineRule="exact"/>
        <w:jc w:val="left"/>
        <w:rPr>
          <w:rFonts w:hint="eastAsia" w:ascii="Microsoft JhengHei" w:eastAsia="Microsoft JhengHei"/>
          <w:sz w:val="21"/>
        </w:rPr>
        <w:sectPr>
          <w:headerReference r:id="rId5" w:type="default"/>
          <w:footerReference r:id="rId7" w:type="default"/>
          <w:headerReference r:id="rId6" w:type="even"/>
          <w:footerReference r:id="rId8" w:type="even"/>
          <w:pgSz w:w="11910" w:h="16840"/>
          <w:pgMar w:top="1580" w:right="920" w:bottom="1300" w:left="1360" w:header="0" w:footer="1111" w:gutter="0"/>
          <w:cols w:space="720" w:num="1"/>
        </w:sectPr>
      </w:pPr>
    </w:p>
    <w:p>
      <w:pPr>
        <w:spacing w:before="62" w:line="235" w:lineRule="auto"/>
        <w:ind w:left="228" w:right="552" w:firstLine="0"/>
        <w:jc w:val="both"/>
        <w:rPr>
          <w:sz w:val="21"/>
        </w:rPr>
      </w:pPr>
      <w:r>
        <w:rPr>
          <w:rFonts w:hint="eastAsia" w:ascii="Microsoft JhengHei" w:eastAsia="Microsoft JhengHei"/>
          <w:b/>
          <w:w w:val="95"/>
          <w:sz w:val="21"/>
        </w:rPr>
        <w:t>1</w:t>
      </w:r>
      <w:r>
        <w:rPr>
          <w:rFonts w:hint="eastAsia" w:ascii="Microsoft JhengHei" w:eastAsia="Microsoft JhengHei"/>
          <w:b/>
          <w:spacing w:val="-14"/>
          <w:w w:val="95"/>
          <w:sz w:val="21"/>
        </w:rPr>
        <w:t>、</w:t>
      </w:r>
      <w:r>
        <w:rPr>
          <w:spacing w:val="-8"/>
          <w:w w:val="95"/>
          <w:sz w:val="21"/>
        </w:rPr>
        <w:t xml:space="preserve">应提供电信间、设备间。如接入点在电信间、设备间，配线机柜应同步安装，光缆在配线机柜   </w:t>
      </w:r>
      <w:r>
        <w:rPr>
          <w:spacing w:val="-7"/>
          <w:sz w:val="21"/>
        </w:rPr>
        <w:t xml:space="preserve">处预留长度应为 </w:t>
      </w:r>
      <w:r>
        <w:rPr>
          <w:sz w:val="21"/>
        </w:rPr>
        <w:t>3m~5m。</w:t>
      </w:r>
    </w:p>
    <w:p>
      <w:pPr>
        <w:spacing w:before="6" w:line="312" w:lineRule="exact"/>
        <w:ind w:left="228" w:right="552" w:firstLine="0"/>
        <w:jc w:val="both"/>
        <w:rPr>
          <w:sz w:val="21"/>
        </w:rPr>
      </w:pPr>
      <w:r>
        <w:rPr>
          <w:rFonts w:hint="eastAsia" w:ascii="Microsoft JhengHei" w:eastAsia="Microsoft JhengHei"/>
          <w:b/>
          <w:w w:val="95"/>
          <w:sz w:val="21"/>
        </w:rPr>
        <w:t>2</w:t>
      </w:r>
      <w:r>
        <w:rPr>
          <w:rFonts w:hint="eastAsia" w:ascii="Microsoft JhengHei" w:eastAsia="Microsoft JhengHei"/>
          <w:b/>
          <w:spacing w:val="-20"/>
          <w:w w:val="95"/>
          <w:sz w:val="21"/>
        </w:rPr>
        <w:t>、</w:t>
      </w:r>
      <w:r>
        <w:rPr>
          <w:spacing w:val="-5"/>
          <w:w w:val="95"/>
          <w:sz w:val="21"/>
        </w:rPr>
        <w:t xml:space="preserve">光缆配线箱应安装在住宅建筑单元入口处、楼道、管线引入处管道间等公共部位，不应安装于   </w:t>
      </w:r>
      <w:r>
        <w:rPr>
          <w:sz w:val="21"/>
        </w:rPr>
        <w:t>人行楼梯踏步侧墙上。如用户接入点在光缆配线箱，应提供配有法兰盘的三合一或四合一光缆配线箱。</w:t>
      </w:r>
    </w:p>
    <w:p>
      <w:pPr>
        <w:spacing w:before="0" w:line="312" w:lineRule="exact"/>
        <w:ind w:left="228" w:right="552" w:firstLine="0"/>
        <w:jc w:val="both"/>
        <w:rPr>
          <w:sz w:val="21"/>
        </w:rPr>
      </w:pPr>
      <w:r>
        <w:rPr>
          <w:rFonts w:hint="eastAsia" w:ascii="Microsoft JhengHei" w:eastAsia="Microsoft JhengHei"/>
          <w:b/>
          <w:w w:val="95"/>
          <w:sz w:val="21"/>
        </w:rPr>
        <w:t>3</w:t>
      </w:r>
      <w:r>
        <w:rPr>
          <w:rFonts w:hint="eastAsia" w:ascii="Microsoft JhengHei" w:eastAsia="Microsoft JhengHei"/>
          <w:b/>
          <w:spacing w:val="-20"/>
          <w:w w:val="95"/>
          <w:sz w:val="21"/>
        </w:rPr>
        <w:t>、</w:t>
      </w:r>
      <w:r>
        <w:rPr>
          <w:spacing w:val="-5"/>
          <w:w w:val="95"/>
          <w:sz w:val="21"/>
        </w:rPr>
        <w:t xml:space="preserve">家居配线箱宜暗装在套内走廊、门厅或起居室等便于维护处，并宜靠近入户导管侧，箱体底边   </w:t>
      </w:r>
      <w:r>
        <w:rPr>
          <w:spacing w:val="-8"/>
          <w:sz w:val="21"/>
        </w:rPr>
        <w:t xml:space="preserve">距地高度宜为 </w:t>
      </w:r>
      <w:r>
        <w:rPr>
          <w:sz w:val="21"/>
        </w:rPr>
        <w:t>500mm。</w:t>
      </w:r>
    </w:p>
    <w:p>
      <w:pPr>
        <w:spacing w:before="0" w:line="319" w:lineRule="exact"/>
        <w:ind w:left="228" w:right="0" w:firstLine="0"/>
        <w:jc w:val="left"/>
        <w:rPr>
          <w:rFonts w:hint="eastAsia" w:ascii="Microsoft JhengHei" w:eastAsia="Microsoft JhengHei"/>
          <w:b/>
          <w:sz w:val="21"/>
        </w:rPr>
      </w:pPr>
      <w:r>
        <w:rPr>
          <w:rFonts w:hint="eastAsia" w:ascii="Microsoft JhengHei" w:eastAsia="Microsoft JhengHei"/>
          <w:b/>
          <w:sz w:val="21"/>
        </w:rPr>
        <w:t>四、用户皮线光缆</w:t>
      </w:r>
    </w:p>
    <w:p>
      <w:pPr>
        <w:spacing w:before="0" w:line="312" w:lineRule="exact"/>
        <w:ind w:left="228" w:right="0" w:firstLine="0"/>
        <w:jc w:val="left"/>
        <w:rPr>
          <w:sz w:val="21"/>
        </w:rPr>
      </w:pPr>
      <w:r>
        <w:rPr>
          <w:rFonts w:hint="eastAsia" w:ascii="Microsoft JhengHei" w:eastAsia="Microsoft JhengHei"/>
          <w:b/>
          <w:sz w:val="21"/>
        </w:rPr>
        <w:t>1、</w:t>
      </w:r>
      <w:r>
        <w:rPr>
          <w:sz w:val="21"/>
        </w:rPr>
        <w:t>采用穿导管暗敷设方式敷设。</w:t>
      </w:r>
    </w:p>
    <w:p>
      <w:pPr>
        <w:spacing w:before="0" w:line="312" w:lineRule="exact"/>
        <w:ind w:left="228" w:right="0" w:firstLine="0"/>
        <w:jc w:val="left"/>
        <w:rPr>
          <w:sz w:val="21"/>
        </w:rPr>
      </w:pPr>
      <w:r>
        <w:rPr>
          <w:rFonts w:hint="eastAsia" w:ascii="Microsoft JhengHei" w:eastAsia="Microsoft JhengHei"/>
          <w:b/>
          <w:sz w:val="21"/>
        </w:rPr>
        <w:t>2、</w:t>
      </w:r>
      <w:r>
        <w:rPr>
          <w:sz w:val="21"/>
        </w:rPr>
        <w:t>在用户接入点配线设备及家居配线箱内采用熔接尾纤方式成端，在成端处纤芯应做标识。</w:t>
      </w:r>
    </w:p>
    <w:p>
      <w:pPr>
        <w:spacing w:before="0" w:line="312" w:lineRule="exact"/>
        <w:ind w:left="228" w:right="0" w:firstLine="0"/>
        <w:jc w:val="left"/>
        <w:rPr>
          <w:sz w:val="21"/>
        </w:rPr>
      </w:pPr>
      <w:r>
        <w:rPr>
          <w:rFonts w:hint="eastAsia" w:ascii="Microsoft JhengHei" w:eastAsia="Microsoft JhengHei"/>
          <w:b/>
          <w:sz w:val="21"/>
        </w:rPr>
        <w:t>3、</w:t>
      </w:r>
      <w:r>
        <w:rPr>
          <w:sz w:val="21"/>
        </w:rPr>
        <w:t>光缆金属加强芯应接地。</w:t>
      </w:r>
    </w:p>
    <w:p>
      <w:pPr>
        <w:spacing w:before="0" w:line="312" w:lineRule="exact"/>
        <w:ind w:left="228" w:right="0" w:firstLine="0"/>
        <w:jc w:val="left"/>
        <w:rPr>
          <w:sz w:val="21"/>
        </w:rPr>
      </w:pPr>
      <w:r>
        <w:rPr>
          <w:rFonts w:hint="eastAsia" w:ascii="Microsoft JhengHei" w:eastAsia="Microsoft JhengHei"/>
          <w:b/>
          <w:sz w:val="21"/>
        </w:rPr>
        <w:t>4、</w:t>
      </w:r>
      <w:r>
        <w:rPr>
          <w:sz w:val="21"/>
        </w:rPr>
        <w:t>光缆配线箱处光纤预留长度应为 1m~1.5m，光缆在家居配线箱成端时预留长度不应小于 500mm。</w:t>
      </w:r>
    </w:p>
    <w:p>
      <w:pPr>
        <w:spacing w:before="0" w:line="312" w:lineRule="exact"/>
        <w:ind w:left="228" w:right="0" w:firstLine="0"/>
        <w:jc w:val="left"/>
        <w:rPr>
          <w:rFonts w:hint="eastAsia" w:ascii="Microsoft JhengHei" w:eastAsia="Microsoft JhengHei"/>
          <w:b/>
          <w:sz w:val="21"/>
        </w:rPr>
      </w:pPr>
      <w:r>
        <w:rPr>
          <w:rFonts w:hint="eastAsia" w:ascii="Microsoft JhengHei" w:eastAsia="Microsoft JhengHei"/>
          <w:b/>
          <w:sz w:val="21"/>
        </w:rPr>
        <w:t>五、传输指标（按一定比例抽测）</w:t>
      </w:r>
    </w:p>
    <w:p>
      <w:pPr>
        <w:spacing w:before="0" w:line="312" w:lineRule="exact"/>
        <w:ind w:left="228" w:right="0" w:firstLine="0"/>
        <w:jc w:val="left"/>
        <w:rPr>
          <w:sz w:val="21"/>
        </w:rPr>
      </w:pPr>
      <w:r>
        <w:rPr>
          <w:rFonts w:hint="eastAsia" w:ascii="Microsoft JhengHei" w:eastAsia="Microsoft JhengHei"/>
          <w:b/>
          <w:sz w:val="21"/>
        </w:rPr>
        <w:t>1、光纤连通性测试：</w:t>
      </w:r>
      <w:r>
        <w:rPr>
          <w:sz w:val="21"/>
        </w:rPr>
        <w:t>所有用户皮线光缆可正常通光。</w:t>
      </w:r>
    </w:p>
    <w:p>
      <w:pPr>
        <w:spacing w:before="0" w:line="347" w:lineRule="exact"/>
        <w:ind w:left="228" w:right="0" w:firstLine="0"/>
        <w:jc w:val="left"/>
        <w:rPr>
          <w:sz w:val="21"/>
        </w:rPr>
      </w:pPr>
      <w:r>
        <w:rPr>
          <w:rFonts w:hint="eastAsia" w:ascii="Microsoft JhengHei" w:eastAsia="Microsoft JhengHei"/>
          <w:b/>
          <w:sz w:val="21"/>
        </w:rPr>
        <w:t>2、光纤衰减测试：</w:t>
      </w:r>
      <w:r>
        <w:rPr>
          <w:spacing w:val="-3"/>
          <w:sz w:val="21"/>
        </w:rPr>
        <w:t xml:space="preserve">用户接入点用户侧配线设备至家居配线箱光纤链路长度不大于 </w:t>
      </w:r>
      <w:r>
        <w:rPr>
          <w:sz w:val="21"/>
        </w:rPr>
        <w:t>300m</w:t>
      </w:r>
      <w:r>
        <w:rPr>
          <w:spacing w:val="-12"/>
          <w:sz w:val="21"/>
        </w:rPr>
        <w:t xml:space="preserve"> 时，光纤</w:t>
      </w:r>
    </w:p>
    <w:p>
      <w:pPr>
        <w:spacing w:before="0" w:line="267" w:lineRule="exact"/>
        <w:ind w:left="228" w:right="0" w:firstLine="0"/>
        <w:jc w:val="left"/>
        <w:rPr>
          <w:sz w:val="21"/>
        </w:rPr>
      </w:pPr>
      <w:r>
        <w:rPr>
          <w:spacing w:val="-5"/>
          <w:sz w:val="21"/>
        </w:rPr>
        <w:t xml:space="preserve">链路全程衰减不应超过 </w:t>
      </w:r>
      <w:r>
        <w:rPr>
          <w:sz w:val="21"/>
        </w:rPr>
        <w:t>0.4dB；</w:t>
      </w:r>
      <w:r>
        <w:rPr>
          <w:spacing w:val="-2"/>
          <w:sz w:val="21"/>
        </w:rPr>
        <w:t xml:space="preserve">用户接入点用户侧配线设备至家居配线箱光纤链路长度大于 </w:t>
      </w:r>
      <w:r>
        <w:rPr>
          <w:sz w:val="21"/>
        </w:rPr>
        <w:t>300m</w:t>
      </w:r>
    </w:p>
    <w:p>
      <w:pPr>
        <w:spacing w:before="43"/>
        <w:ind w:left="228" w:right="0" w:firstLine="0"/>
        <w:jc w:val="left"/>
        <w:rPr>
          <w:sz w:val="21"/>
        </w:rPr>
      </w:pPr>
      <w:r>
        <w:rPr>
          <w:sz w:val="21"/>
        </w:rPr>
        <w:t>时，光纤链路全程衰减不应超过按下式计算值：</w:t>
      </w:r>
    </w:p>
    <w:p>
      <w:pPr>
        <w:pStyle w:val="2"/>
        <w:spacing w:before="9"/>
        <w:rPr>
          <w:sz w:val="27"/>
        </w:rPr>
      </w:pPr>
    </w:p>
    <w:p>
      <w:pPr>
        <w:spacing w:before="0"/>
        <w:ind w:left="2328" w:right="0" w:firstLine="0"/>
        <w:jc w:val="left"/>
        <w:rPr>
          <w:sz w:val="21"/>
        </w:rPr>
      </w:pPr>
      <w:r>
        <w:rPr>
          <w:w w:val="105"/>
          <w:sz w:val="21"/>
        </w:rPr>
        <w:t>β=α</w:t>
      </w:r>
      <w:r>
        <w:rPr>
          <w:w w:val="105"/>
          <w:sz w:val="21"/>
          <w:vertAlign w:val="subscript"/>
        </w:rPr>
        <w:t>f</w:t>
      </w:r>
      <w:r>
        <w:rPr>
          <w:w w:val="105"/>
          <w:sz w:val="21"/>
          <w:vertAlign w:val="baseline"/>
        </w:rPr>
        <w:t xml:space="preserve"> ×L</w:t>
      </w:r>
      <w:r>
        <w:rPr>
          <w:w w:val="105"/>
          <w:sz w:val="21"/>
          <w:vertAlign w:val="subscript"/>
        </w:rPr>
        <w:t>max</w:t>
      </w:r>
      <w:r>
        <w:rPr>
          <w:w w:val="105"/>
          <w:sz w:val="21"/>
          <w:vertAlign w:val="baseline"/>
        </w:rPr>
        <w:t>+（N+2）×α</w:t>
      </w:r>
      <w:r>
        <w:rPr>
          <w:w w:val="105"/>
          <w:sz w:val="21"/>
          <w:vertAlign w:val="subscript"/>
        </w:rPr>
        <w:t>j</w:t>
      </w:r>
    </w:p>
    <w:p>
      <w:pPr>
        <w:spacing w:before="43" w:line="278" w:lineRule="auto"/>
        <w:ind w:left="648" w:right="1822" w:hanging="420"/>
        <w:jc w:val="left"/>
        <w:rPr>
          <w:sz w:val="21"/>
        </w:rPr>
      </w:pPr>
      <w:r>
        <w:rPr>
          <w:sz w:val="21"/>
        </w:rPr>
        <w:t>式中：β——用户接入点用户侧配线设备至家居配线箱光纤链路的衰减限值（dB） L</w:t>
      </w:r>
      <w:r>
        <w:rPr>
          <w:sz w:val="21"/>
          <w:vertAlign w:val="subscript"/>
        </w:rPr>
        <w:t>max</w:t>
      </w:r>
      <w:r>
        <w:rPr>
          <w:sz w:val="21"/>
          <w:vertAlign w:val="baseline"/>
        </w:rPr>
        <w:t>——用户接入点用户侧配线设备至家居配线箱光纤链路的最大长度（km） α</w:t>
      </w:r>
      <w:r>
        <w:rPr>
          <w:sz w:val="21"/>
          <w:vertAlign w:val="subscript"/>
        </w:rPr>
        <w:t>f</w:t>
      </w:r>
      <w:r>
        <w:rPr>
          <w:sz w:val="21"/>
          <w:vertAlign w:val="baseline"/>
        </w:rPr>
        <w:t>——光纤衰减常数（dB/km）</w:t>
      </w:r>
    </w:p>
    <w:p>
      <w:pPr>
        <w:spacing w:before="0" w:line="278" w:lineRule="auto"/>
        <w:ind w:left="826" w:right="1749" w:firstLine="0"/>
        <w:jc w:val="left"/>
        <w:rPr>
          <w:sz w:val="21"/>
        </w:rPr>
      </w:pPr>
      <w:r>
        <w:rPr>
          <w:sz w:val="21"/>
        </w:rPr>
        <w:t>N——用户接入点用户侧配线设备至家居配线箱光纤链路中熔接的接头数量； 2——光纤通道成端接头数，每端 1 个；</w:t>
      </w:r>
    </w:p>
    <w:p>
      <w:pPr>
        <w:spacing w:before="0" w:line="278" w:lineRule="auto"/>
        <w:ind w:left="228" w:right="5017" w:firstLine="420"/>
        <w:jc w:val="left"/>
        <w:rPr>
          <w:sz w:val="21"/>
        </w:rPr>
      </w:pPr>
      <w:r>
        <w:rPr>
          <w:sz w:val="21"/>
        </w:rPr>
        <w:t>α</w:t>
      </w:r>
      <w:r>
        <w:rPr>
          <w:sz w:val="21"/>
          <w:vertAlign w:val="subscript"/>
        </w:rPr>
        <w:t>j</w:t>
      </w:r>
      <w:r>
        <w:rPr>
          <w:sz w:val="21"/>
          <w:vertAlign w:val="baseline"/>
        </w:rPr>
        <w:t>——光纤接头损耗系数，取 0.1dB/个。六、竣工资料（至少包含以下资料）</w:t>
      </w:r>
    </w:p>
    <w:p>
      <w:pPr>
        <w:pStyle w:val="8"/>
        <w:numPr>
          <w:ilvl w:val="0"/>
          <w:numId w:val="2"/>
        </w:numPr>
        <w:tabs>
          <w:tab w:val="left" w:pos="439"/>
        </w:tabs>
        <w:spacing w:before="0" w:after="0" w:line="269" w:lineRule="exact"/>
        <w:ind w:left="431" w:leftChars="0" w:right="0" w:hanging="211" w:firstLineChars="0"/>
        <w:jc w:val="left"/>
        <w:rPr>
          <w:sz w:val="21"/>
        </w:rPr>
      </w:pPr>
      <w:r>
        <w:rPr>
          <w:sz w:val="21"/>
        </w:rPr>
        <w:t>竣工报告</w:t>
      </w:r>
    </w:p>
    <w:p>
      <w:pPr>
        <w:pStyle w:val="8"/>
        <w:numPr>
          <w:ilvl w:val="0"/>
          <w:numId w:val="2"/>
        </w:numPr>
        <w:tabs>
          <w:tab w:val="left" w:pos="439"/>
        </w:tabs>
        <w:spacing w:before="42" w:after="0" w:line="240" w:lineRule="auto"/>
        <w:ind w:left="431" w:leftChars="0" w:right="0" w:hanging="211" w:firstLineChars="0"/>
        <w:jc w:val="left"/>
        <w:rPr>
          <w:sz w:val="21"/>
        </w:rPr>
      </w:pPr>
      <w:r>
        <w:rPr>
          <w:sz w:val="21"/>
        </w:rPr>
        <w:t>竣工图纸</w:t>
      </w:r>
    </w:p>
    <w:p>
      <w:pPr>
        <w:pStyle w:val="8"/>
        <w:numPr>
          <w:ilvl w:val="0"/>
          <w:numId w:val="2"/>
        </w:numPr>
        <w:tabs>
          <w:tab w:val="left" w:pos="439"/>
        </w:tabs>
        <w:spacing w:before="43" w:after="0" w:line="240" w:lineRule="auto"/>
        <w:ind w:left="431" w:leftChars="0" w:right="0" w:hanging="211" w:firstLineChars="0"/>
        <w:jc w:val="left"/>
        <w:rPr>
          <w:sz w:val="21"/>
        </w:rPr>
      </w:pPr>
      <w:r>
        <w:rPr>
          <w:sz w:val="21"/>
        </w:rPr>
        <w:t>光纤测试记录</w:t>
      </w:r>
    </w:p>
    <w:p>
      <w:pPr>
        <w:pStyle w:val="8"/>
        <w:numPr>
          <w:ilvl w:val="0"/>
          <w:numId w:val="2"/>
        </w:numPr>
        <w:tabs>
          <w:tab w:val="left" w:pos="439"/>
        </w:tabs>
        <w:spacing w:before="43" w:after="0" w:line="240" w:lineRule="auto"/>
        <w:ind w:left="431" w:leftChars="0" w:right="0" w:hanging="211" w:firstLineChars="0"/>
        <w:jc w:val="left"/>
        <w:rPr>
          <w:sz w:val="21"/>
        </w:rPr>
      </w:pPr>
      <w:r>
        <w:rPr>
          <w:sz w:val="21"/>
        </w:rPr>
        <w:t>用户接入点至用户的光纤线序分配表</w:t>
      </w:r>
    </w:p>
    <w:p>
      <w:pPr>
        <w:pStyle w:val="8"/>
        <w:numPr>
          <w:ilvl w:val="0"/>
          <w:numId w:val="2"/>
        </w:numPr>
        <w:tabs>
          <w:tab w:val="left" w:pos="439"/>
        </w:tabs>
        <w:spacing w:before="43" w:after="0" w:line="240" w:lineRule="auto"/>
        <w:ind w:left="431" w:leftChars="0" w:right="0" w:hanging="211" w:firstLineChars="0"/>
        <w:jc w:val="left"/>
        <w:rPr>
          <w:sz w:val="21"/>
        </w:rPr>
      </w:pPr>
      <w:bookmarkStart w:id="0" w:name="_GoBack"/>
      <w:r>
        <w:rPr>
          <w:sz w:val="21"/>
        </w:rPr>
        <w:t>所有使用管材的合格证</w:t>
      </w:r>
    </w:p>
    <w:bookmarkEnd w:id="0"/>
    <w:p>
      <w:pPr>
        <w:pStyle w:val="8"/>
        <w:numPr>
          <w:ilvl w:val="0"/>
          <w:numId w:val="2"/>
        </w:numPr>
        <w:tabs>
          <w:tab w:val="left" w:pos="439"/>
        </w:tabs>
        <w:spacing w:before="43" w:after="0" w:line="240" w:lineRule="auto"/>
        <w:ind w:left="431" w:leftChars="0" w:right="0" w:hanging="211" w:firstLineChars="0"/>
        <w:jc w:val="left"/>
        <w:rPr>
          <w:sz w:val="21"/>
        </w:rPr>
      </w:pPr>
      <w:r>
        <w:rPr>
          <w:sz w:val="21"/>
        </w:rPr>
        <w:t>隐蔽工程监理签证记录</w:t>
      </w:r>
    </w:p>
    <w:p>
      <w:pPr>
        <w:spacing w:after="0"/>
        <w:rPr>
          <w:sz w:val="15"/>
        </w:rPr>
        <w:sectPr>
          <w:pgSz w:w="11910" w:h="16840"/>
          <w:pgMar w:top="1580" w:right="920" w:bottom="1220" w:left="1360" w:header="0" w:footer="1111" w:gutter="0"/>
          <w:cols w:space="720" w:num="1"/>
        </w:sectPr>
      </w:pPr>
    </w:p>
    <w:p>
      <w:pPr>
        <w:pStyle w:val="2"/>
        <w:spacing w:before="7"/>
        <w:rPr>
          <w:sz w:val="15"/>
        </w:rPr>
      </w:pPr>
    </w:p>
    <w:sectPr>
      <w:pgSz w:w="11910" w:h="16840"/>
      <w:pgMar w:top="1580" w:right="920" w:bottom="1440" w:left="1360" w:header="0" w:footer="1331"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方正小标宋简体">
    <w:panose1 w:val="00000600000000000000"/>
    <w:charset w:val="86"/>
    <w:family w:val="script"/>
    <w:pitch w:val="default"/>
    <w:sig w:usb0="800002BF" w:usb1="184F6CF8" w:usb2="00000012" w:usb3="00000000" w:csb0="00160001" w:csb1="12030000"/>
  </w:font>
  <w:font w:name="Microsoft JhengHei">
    <w:panose1 w:val="020B0604030504040204"/>
    <w:charset w:val="88"/>
    <w:family w:val="swiss"/>
    <w:pitch w:val="default"/>
    <w:sig w:usb0="000002A7" w:usb1="28CF4400" w:usb2="00000016" w:usb3="00000000" w:csb0="001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14" w:lineRule="auto"/>
      <w:rPr>
        <w:sz w:val="20"/>
      </w:rPr>
    </w:pPr>
    <w:r>
      <w:pict>
        <v:shape id="_x0000_s2050" o:spid="_x0000_s2050" o:spt="202" type="#_x0000_t202" style="position:absolute;left:0pt;margin-left:478.6pt;margin-top:764.3pt;height:16pt;width:47pt;mso-position-horizontal-relative:page;mso-position-vertical-relative:page;z-index:-251656192;mso-width-relative:page;mso-height-relative:page;" filled="f" stroked="f" coordsize="21600,21600">
          <v:path/>
          <v:fill on="f" focussize="0,0"/>
          <v:stroke on="f" joinstyle="miter"/>
          <v:imagedata o:title=""/>
          <o:lock v:ext="edit"/>
          <v:textbox inset="0mm,0mm,0mm,0mm">
            <w:txbxContent>
              <w:p>
                <w:pPr>
                  <w:spacing w:before="0" w:line="320" w:lineRule="exact"/>
                  <w:ind w:left="20" w:right="0" w:firstLine="0"/>
                  <w:jc w:val="left"/>
                  <w:rPr>
                    <w:sz w:val="28"/>
                  </w:rPr>
                </w:pPr>
                <w:r>
                  <w:rPr>
                    <w:sz w:val="28"/>
                  </w:rPr>
                  <w:t xml:space="preserve">- </w:t>
                </w:r>
                <w:r>
                  <w:fldChar w:fldCharType="begin"/>
                </w:r>
                <w:r>
                  <w:rPr>
                    <w:sz w:val="28"/>
                  </w:rPr>
                  <w:instrText xml:space="preserve"> PAGE </w:instrText>
                </w:r>
                <w:r>
                  <w:fldChar w:fldCharType="separate"/>
                </w:r>
                <w:r>
                  <w:t>11</w:t>
                </w:r>
                <w:r>
                  <w:fldChar w:fldCharType="end"/>
                </w:r>
                <w:r>
                  <w:rPr>
                    <w:sz w:val="28"/>
                  </w:rPr>
                  <w:t xml:space="preserve"> -</w:t>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14" w:lineRule="auto"/>
      <w:rPr>
        <w:sz w:val="20"/>
      </w:rPr>
    </w:pPr>
    <w:r>
      <w:pict>
        <v:shape id="_x0000_s2049" o:spid="_x0000_s2049" o:spt="202" type="#_x0000_t202" style="position:absolute;left:0pt;margin-left:85.4pt;margin-top:775.3pt;height:16pt;width:47pt;mso-position-horizontal-relative:page;mso-position-vertical-relative:page;z-index:-251656192;mso-width-relative:page;mso-height-relative:page;" filled="f" stroked="f" coordsize="21600,21600">
          <v:path/>
          <v:fill on="f" focussize="0,0"/>
          <v:stroke on="f" joinstyle="miter"/>
          <v:imagedata o:title=""/>
          <o:lock v:ext="edit"/>
          <v:textbox inset="0mm,0mm,0mm,0mm">
            <w:txbxContent>
              <w:p>
                <w:pPr>
                  <w:spacing w:before="0" w:line="320" w:lineRule="exact"/>
                  <w:ind w:left="20" w:right="0" w:firstLine="0"/>
                  <w:jc w:val="left"/>
                  <w:rPr>
                    <w:sz w:val="28"/>
                  </w:rPr>
                </w:pPr>
                <w:r>
                  <w:rPr>
                    <w:sz w:val="28"/>
                  </w:rPr>
                  <w:t xml:space="preserve">- </w:t>
                </w:r>
                <w:r>
                  <w:fldChar w:fldCharType="begin"/>
                </w:r>
                <w:r>
                  <w:rPr>
                    <w:sz w:val="28"/>
                  </w:rPr>
                  <w:instrText xml:space="preserve"> PAGE </w:instrText>
                </w:r>
                <w:r>
                  <w:fldChar w:fldCharType="separate"/>
                </w:r>
                <w:r>
                  <w:t>10</w:t>
                </w:r>
                <w:r>
                  <w:fldChar w:fldCharType="end"/>
                </w:r>
                <w:r>
                  <w:rPr>
                    <w:sz w:val="28"/>
                  </w:rPr>
                  <w:t xml:space="preserve"> -</w:t>
                </w: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092B84"/>
    <w:multiLevelType w:val="multilevel"/>
    <w:tmpl w:val="CF092B84"/>
    <w:lvl w:ilvl="0" w:tentative="0">
      <w:start w:val="1"/>
      <w:numFmt w:val="decimal"/>
      <w:lvlText w:val="（%1）"/>
      <w:lvlJc w:val="left"/>
      <w:pPr>
        <w:ind w:left="1070" w:hanging="528"/>
        <w:jc w:val="left"/>
      </w:pPr>
      <w:rPr>
        <w:rFonts w:hint="default" w:ascii="Microsoft JhengHei" w:hAnsi="Microsoft JhengHei" w:eastAsia="Microsoft JhengHei" w:cs="Microsoft JhengHei"/>
        <w:b/>
        <w:bCs/>
        <w:spacing w:val="-52"/>
        <w:w w:val="83"/>
        <w:sz w:val="19"/>
        <w:szCs w:val="19"/>
        <w:lang w:val="en-US" w:eastAsia="zh-CN" w:bidi="ar-SA"/>
      </w:rPr>
    </w:lvl>
    <w:lvl w:ilvl="1" w:tentative="0">
      <w:start w:val="0"/>
      <w:numFmt w:val="bullet"/>
      <w:lvlText w:val="•"/>
      <w:lvlJc w:val="left"/>
      <w:pPr>
        <w:ind w:left="1934" w:hanging="528"/>
      </w:pPr>
      <w:rPr>
        <w:rFonts w:hint="default"/>
        <w:lang w:val="en-US" w:eastAsia="zh-CN" w:bidi="ar-SA"/>
      </w:rPr>
    </w:lvl>
    <w:lvl w:ilvl="2" w:tentative="0">
      <w:start w:val="0"/>
      <w:numFmt w:val="bullet"/>
      <w:lvlText w:val="•"/>
      <w:lvlJc w:val="left"/>
      <w:pPr>
        <w:ind w:left="2789" w:hanging="528"/>
      </w:pPr>
      <w:rPr>
        <w:rFonts w:hint="default"/>
        <w:lang w:val="en-US" w:eastAsia="zh-CN" w:bidi="ar-SA"/>
      </w:rPr>
    </w:lvl>
    <w:lvl w:ilvl="3" w:tentative="0">
      <w:start w:val="0"/>
      <w:numFmt w:val="bullet"/>
      <w:lvlText w:val="•"/>
      <w:lvlJc w:val="left"/>
      <w:pPr>
        <w:ind w:left="3643" w:hanging="528"/>
      </w:pPr>
      <w:rPr>
        <w:rFonts w:hint="default"/>
        <w:lang w:val="en-US" w:eastAsia="zh-CN" w:bidi="ar-SA"/>
      </w:rPr>
    </w:lvl>
    <w:lvl w:ilvl="4" w:tentative="0">
      <w:start w:val="0"/>
      <w:numFmt w:val="bullet"/>
      <w:lvlText w:val="•"/>
      <w:lvlJc w:val="left"/>
      <w:pPr>
        <w:ind w:left="4498" w:hanging="528"/>
      </w:pPr>
      <w:rPr>
        <w:rFonts w:hint="default"/>
        <w:lang w:val="en-US" w:eastAsia="zh-CN" w:bidi="ar-SA"/>
      </w:rPr>
    </w:lvl>
    <w:lvl w:ilvl="5" w:tentative="0">
      <w:start w:val="0"/>
      <w:numFmt w:val="bullet"/>
      <w:lvlText w:val="•"/>
      <w:lvlJc w:val="left"/>
      <w:pPr>
        <w:ind w:left="5353" w:hanging="528"/>
      </w:pPr>
      <w:rPr>
        <w:rFonts w:hint="default"/>
        <w:lang w:val="en-US" w:eastAsia="zh-CN" w:bidi="ar-SA"/>
      </w:rPr>
    </w:lvl>
    <w:lvl w:ilvl="6" w:tentative="0">
      <w:start w:val="0"/>
      <w:numFmt w:val="bullet"/>
      <w:lvlText w:val="•"/>
      <w:lvlJc w:val="left"/>
      <w:pPr>
        <w:ind w:left="6207" w:hanging="528"/>
      </w:pPr>
      <w:rPr>
        <w:rFonts w:hint="default"/>
        <w:lang w:val="en-US" w:eastAsia="zh-CN" w:bidi="ar-SA"/>
      </w:rPr>
    </w:lvl>
    <w:lvl w:ilvl="7" w:tentative="0">
      <w:start w:val="0"/>
      <w:numFmt w:val="bullet"/>
      <w:lvlText w:val="•"/>
      <w:lvlJc w:val="left"/>
      <w:pPr>
        <w:ind w:left="7062" w:hanging="528"/>
      </w:pPr>
      <w:rPr>
        <w:rFonts w:hint="default"/>
        <w:lang w:val="en-US" w:eastAsia="zh-CN" w:bidi="ar-SA"/>
      </w:rPr>
    </w:lvl>
    <w:lvl w:ilvl="8" w:tentative="0">
      <w:start w:val="0"/>
      <w:numFmt w:val="bullet"/>
      <w:lvlText w:val="•"/>
      <w:lvlJc w:val="left"/>
      <w:pPr>
        <w:ind w:left="7916" w:hanging="528"/>
      </w:pPr>
      <w:rPr>
        <w:rFonts w:hint="default"/>
        <w:lang w:val="en-US" w:eastAsia="zh-CN" w:bidi="ar-SA"/>
      </w:rPr>
    </w:lvl>
  </w:abstractNum>
  <w:abstractNum w:abstractNumId="1">
    <w:nsid w:val="59ADCABA"/>
    <w:multiLevelType w:val="multilevel"/>
    <w:tmpl w:val="59ADCABA"/>
    <w:lvl w:ilvl="0" w:tentative="0">
      <w:start w:val="1"/>
      <w:numFmt w:val="decimal"/>
      <w:lvlText w:val="%1."/>
      <w:lvlJc w:val="left"/>
      <w:pPr>
        <w:ind w:left="431" w:hanging="211"/>
        <w:jc w:val="left"/>
      </w:pPr>
      <w:rPr>
        <w:rFonts w:hint="default" w:ascii="仿宋" w:hAnsi="仿宋" w:eastAsia="仿宋" w:cs="仿宋"/>
        <w:w w:val="100"/>
        <w:sz w:val="19"/>
        <w:szCs w:val="19"/>
        <w:lang w:val="en-US" w:eastAsia="zh-CN" w:bidi="ar-SA"/>
      </w:rPr>
    </w:lvl>
    <w:lvl w:ilvl="1" w:tentative="0">
      <w:start w:val="0"/>
      <w:numFmt w:val="bullet"/>
      <w:lvlText w:val="•"/>
      <w:lvlJc w:val="left"/>
      <w:pPr>
        <w:ind w:left="1358" w:hanging="211"/>
      </w:pPr>
      <w:rPr>
        <w:rFonts w:hint="default"/>
        <w:lang w:val="en-US" w:eastAsia="zh-CN" w:bidi="ar-SA"/>
      </w:rPr>
    </w:lvl>
    <w:lvl w:ilvl="2" w:tentative="0">
      <w:start w:val="0"/>
      <w:numFmt w:val="bullet"/>
      <w:lvlText w:val="•"/>
      <w:lvlJc w:val="left"/>
      <w:pPr>
        <w:ind w:left="2277" w:hanging="211"/>
      </w:pPr>
      <w:rPr>
        <w:rFonts w:hint="default"/>
        <w:lang w:val="en-US" w:eastAsia="zh-CN" w:bidi="ar-SA"/>
      </w:rPr>
    </w:lvl>
    <w:lvl w:ilvl="3" w:tentative="0">
      <w:start w:val="0"/>
      <w:numFmt w:val="bullet"/>
      <w:lvlText w:val="•"/>
      <w:lvlJc w:val="left"/>
      <w:pPr>
        <w:ind w:left="3195" w:hanging="211"/>
      </w:pPr>
      <w:rPr>
        <w:rFonts w:hint="default"/>
        <w:lang w:val="en-US" w:eastAsia="zh-CN" w:bidi="ar-SA"/>
      </w:rPr>
    </w:lvl>
    <w:lvl w:ilvl="4" w:tentative="0">
      <w:start w:val="0"/>
      <w:numFmt w:val="bullet"/>
      <w:lvlText w:val="•"/>
      <w:lvlJc w:val="left"/>
      <w:pPr>
        <w:ind w:left="4114" w:hanging="211"/>
      </w:pPr>
      <w:rPr>
        <w:rFonts w:hint="default"/>
        <w:lang w:val="en-US" w:eastAsia="zh-CN" w:bidi="ar-SA"/>
      </w:rPr>
    </w:lvl>
    <w:lvl w:ilvl="5" w:tentative="0">
      <w:start w:val="0"/>
      <w:numFmt w:val="bullet"/>
      <w:lvlText w:val="•"/>
      <w:lvlJc w:val="left"/>
      <w:pPr>
        <w:ind w:left="5033" w:hanging="211"/>
      </w:pPr>
      <w:rPr>
        <w:rFonts w:hint="default"/>
        <w:lang w:val="en-US" w:eastAsia="zh-CN" w:bidi="ar-SA"/>
      </w:rPr>
    </w:lvl>
    <w:lvl w:ilvl="6" w:tentative="0">
      <w:start w:val="0"/>
      <w:numFmt w:val="bullet"/>
      <w:lvlText w:val="•"/>
      <w:lvlJc w:val="left"/>
      <w:pPr>
        <w:ind w:left="5951" w:hanging="211"/>
      </w:pPr>
      <w:rPr>
        <w:rFonts w:hint="default"/>
        <w:lang w:val="en-US" w:eastAsia="zh-CN" w:bidi="ar-SA"/>
      </w:rPr>
    </w:lvl>
    <w:lvl w:ilvl="7" w:tentative="0">
      <w:start w:val="0"/>
      <w:numFmt w:val="bullet"/>
      <w:lvlText w:val="•"/>
      <w:lvlJc w:val="left"/>
      <w:pPr>
        <w:ind w:left="6870" w:hanging="211"/>
      </w:pPr>
      <w:rPr>
        <w:rFonts w:hint="default"/>
        <w:lang w:val="en-US" w:eastAsia="zh-CN" w:bidi="ar-SA"/>
      </w:rPr>
    </w:lvl>
    <w:lvl w:ilvl="8" w:tentative="0">
      <w:start w:val="0"/>
      <w:numFmt w:val="bullet"/>
      <w:lvlText w:val="•"/>
      <w:lvlJc w:val="left"/>
      <w:pPr>
        <w:ind w:left="7788" w:hanging="211"/>
      </w:pPr>
      <w:rPr>
        <w:rFonts w:hint="default"/>
        <w:lang w:val="en-US" w:eastAsia="zh-CN" w:bidi="ar-S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documentProtection w:enforcement="0"/>
  <w:defaultTabStop w:val="720"/>
  <w:evenAndOddHeaders w:val="1"/>
  <w:drawingGridHorizontalSpacing w:val="110"/>
  <w:displayHorizontalDrawingGridEvery w:val="2"/>
  <w:characterSpacingControl w:val="doNotCompress"/>
  <w:hdrShapeDefaults>
    <o:shapelayout v:ext="edit">
      <o:idmap v:ext="edit" data="2"/>
    </o:shapelayout>
  </w:hdrShapeDefaults>
  <w:footnotePr>
    <w:footnote w:id="0"/>
    <w:footnote w:id="1"/>
  </w:footnotePr>
  <w:endnotePr>
    <w:endnote w:id="0"/>
    <w:endnote w:id="1"/>
  </w:endnotePr>
  <w:compat>
    <w:ulTrailSpace/>
    <w:shapeLayoutLikeWW8/>
    <w:useFELayout/>
    <w:compatSetting w:name="compatibilityMode" w:uri="http://schemas.microsoft.com/office/word" w:val="12"/>
  </w:compat>
  <w:docVars>
    <w:docVar w:name="commondata" w:val="eyJoZGlkIjoiN2YzNjBkOTgyNWQ1YTMxYzM3MzMwNWFiODNmOWIzYWMifQ=="/>
  </w:docVars>
  <w:rsids>
    <w:rsidRoot w:val="00000000"/>
    <w:rsid w:val="21B92BA3"/>
    <w:rsid w:val="3A5353A4"/>
    <w:rsid w:val="49B748AE"/>
    <w:rsid w:val="5F31680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 w:semiHidden="0" w:name="Title"/>
    <w:lsdException w:unhideWhenUsed="0" w:uiPriority="0" w:semiHidden="0" w:name="Closing"/>
    <w:lsdException w:unhideWhenUsed="0" w:uiPriority="0" w:semiHidden="0" w:name="Signature"/>
    <w:lsdException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240" w:lineRule="auto"/>
      <w:ind w:left="0" w:right="0"/>
      <w:jc w:val="left"/>
    </w:pPr>
    <w:rPr>
      <w:rFonts w:ascii="仿宋" w:hAnsi="仿宋" w:eastAsia="仿宋" w:cs="仿宋"/>
      <w:sz w:val="22"/>
      <w:szCs w:val="22"/>
      <w:lang w:val="en-US" w:eastAsia="zh-CN" w:bidi="ar-SA"/>
    </w:rPr>
  </w:style>
  <w:style w:type="character" w:default="1" w:styleId="6">
    <w:name w:val="Default Paragraph Font"/>
    <w:semiHidden/>
    <w:unhideWhenUsed/>
    <w:uiPriority w:val="1"/>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1"/>
    <w:rPr>
      <w:rFonts w:ascii="仿宋" w:hAnsi="仿宋" w:eastAsia="仿宋" w:cs="仿宋"/>
      <w:sz w:val="32"/>
      <w:szCs w:val="32"/>
      <w:lang w:val="en-US" w:eastAsia="zh-CN" w:bidi="ar-SA"/>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Title"/>
    <w:basedOn w:val="1"/>
    <w:qFormat/>
    <w:uiPriority w:val="1"/>
    <w:pPr>
      <w:spacing w:line="1812" w:lineRule="exact"/>
      <w:ind w:left="228"/>
    </w:pPr>
    <w:rPr>
      <w:rFonts w:ascii="方正小标宋简体" w:hAnsi="方正小标宋简体" w:eastAsia="方正小标宋简体" w:cs="方正小标宋简体"/>
      <w:sz w:val="104"/>
      <w:szCs w:val="104"/>
      <w:lang w:val="en-US" w:eastAsia="zh-CN" w:bidi="ar-SA"/>
    </w:rPr>
  </w:style>
  <w:style w:type="table" w:customStyle="1" w:styleId="7">
    <w:name w:val="Table Normal"/>
    <w:semiHidden/>
    <w:unhideWhenUsed/>
    <w:qFormat/>
    <w:uiPriority w:val="2"/>
    <w:tblPr>
      <w:tblCellMar>
        <w:top w:w="0" w:type="dxa"/>
        <w:left w:w="0" w:type="dxa"/>
        <w:bottom w:w="0" w:type="dxa"/>
        <w:right w:w="0" w:type="dxa"/>
      </w:tblCellMar>
    </w:tblPr>
  </w:style>
  <w:style w:type="paragraph" w:styleId="8">
    <w:name w:val="List Paragraph"/>
    <w:basedOn w:val="1"/>
    <w:qFormat/>
    <w:uiPriority w:val="1"/>
    <w:pPr>
      <w:ind w:left="439" w:hanging="211"/>
    </w:pPr>
    <w:rPr>
      <w:rFonts w:ascii="仿宋" w:hAnsi="仿宋" w:eastAsia="仿宋" w:cs="仿宋"/>
      <w:lang w:val="en-US" w:eastAsia="zh-CN" w:bidi="ar-SA"/>
    </w:rPr>
  </w:style>
  <w:style w:type="paragraph" w:customStyle="1" w:styleId="9">
    <w:name w:val="Table Paragraph"/>
    <w:basedOn w:val="1"/>
    <w:qFormat/>
    <w:uiPriority w:val="1"/>
    <w:rPr>
      <w:rFonts w:ascii="仿宋" w:hAnsi="仿宋" w:eastAsia="仿宋" w:cs="仿宋"/>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2050"/>
    <customShpInfo spid="_x0000_s2049"/>
    <customShpInfo spid="_x0000_s103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1087</Words>
  <Characters>1185</Characters>
  <TotalTime>8</TotalTime>
  <ScaleCrop>false</ScaleCrop>
  <LinksUpToDate>false</LinksUpToDate>
  <CharactersWithSpaces>1217</CharactersWithSpaces>
  <Application>WPS Office_11.1.0.12313_F1E327BC-269C-435d-A152-05C5408002CA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2022-11-22T08:38:00Z</dcterms:created>
  <dc:creator>系统管理员</dc:creator>
  <cp:lastModifiedBy>长春铁塔</cp:lastModifiedBy>
  <dcterms:modified xsi:type="dcterms:W3CDTF">2023-05-22T01:58:28Z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2017-04-07T00:00:00Z</vt:filetime>
  </property>
  <property fmtid="{D5CDD505-2E9C-101B-9397-08002B2CF9AE}" pid="3" name="Creator">
    <vt:lpwstr>WPS Office_11.1.0.10132_F1E327BC-269C-435d-A152-05C5408002CA</vt:lpwstr>
  </property>
  <property fmtid="{D5CDD505-2E9C-101B-9397-08002B2CF9AE}" pid="4" name="LastSaved">
    <vt:filetime>2022-11-22T00:00:00Z</vt:filetime>
  </property>
  <property fmtid="{D5CDD505-2E9C-101B-9397-08002B2CF9AE}" pid="5" name="KSOProductBuildVer">
    <vt:lpwstr>2052-11.1.0.12313</vt:lpwstr>
  </property>
  <property fmtid="{D5CDD505-2E9C-101B-9397-08002B2CF9AE}" pid="6" name="ICV">
    <vt:lpwstr>5345E0821317436E8A9C97F0FE2E4F7F</vt:lpwstr>
  </property>
</Properties>
</file>