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color w:val="0C0C0C" w:themeColor="text1" w:themeTint="F2"/>
          <w:sz w:val="32"/>
          <w:szCs w:val="32"/>
          <w:highlight w:val="none"/>
          <w:lang w:eastAsia="zh-CN"/>
        </w:rPr>
      </w:pPr>
      <w:r>
        <w:rPr>
          <w:rFonts w:hint="eastAsia" w:ascii="黑体" w:hAnsi="黑体" w:eastAsia="黑体" w:cs="黑体"/>
          <w:b w:val="0"/>
          <w:bCs/>
          <w:color w:val="0C0C0C" w:themeColor="text1" w:themeTint="F2"/>
          <w:sz w:val="32"/>
          <w:szCs w:val="32"/>
          <w:highlight w:val="none"/>
          <w:lang w:eastAsia="zh-CN"/>
        </w:rPr>
        <w:t>附件</w:t>
      </w:r>
    </w:p>
    <w:p>
      <w:pPr>
        <w:spacing w:line="560" w:lineRule="exact"/>
        <w:jc w:val="center"/>
        <w:rPr>
          <w:rFonts w:ascii="宋体" w:hAnsi="宋体" w:eastAsia="宋体"/>
          <w:b/>
          <w:color w:val="0C0C0C" w:themeColor="text1" w:themeTint="F2"/>
          <w:sz w:val="44"/>
          <w:szCs w:val="44"/>
          <w:highlight w:val="none"/>
        </w:rPr>
      </w:pPr>
      <w:r>
        <w:rPr>
          <w:rFonts w:hint="eastAsia" w:ascii="宋体" w:hAnsi="宋体" w:eastAsia="宋体"/>
          <w:b/>
          <w:color w:val="0C0C0C" w:themeColor="text1" w:themeTint="F2"/>
          <w:sz w:val="44"/>
          <w:szCs w:val="44"/>
          <w:highlight w:val="none"/>
        </w:rPr>
        <w:t>加快发展装配式建筑实施办法</w:t>
      </w:r>
    </w:p>
    <w:p>
      <w:pPr>
        <w:spacing w:line="560" w:lineRule="exact"/>
        <w:jc w:val="center"/>
        <w:rPr>
          <w:rFonts w:ascii="楷体_GB2312" w:hAnsi="楷体_GB2312" w:eastAsia="楷体_GB2312" w:cs="楷体_GB2312"/>
          <w:color w:val="0C0C0C" w:themeColor="text1" w:themeTint="F2"/>
          <w:sz w:val="32"/>
          <w:szCs w:val="32"/>
          <w:highlight w:val="none"/>
        </w:rPr>
      </w:pPr>
      <w:r>
        <w:rPr>
          <w:rFonts w:hint="eastAsia" w:ascii="楷体_GB2312" w:hAnsi="楷体_GB2312" w:eastAsia="楷体_GB2312" w:cs="楷体_GB2312"/>
          <w:color w:val="0C0C0C" w:themeColor="text1" w:themeTint="F2"/>
          <w:sz w:val="32"/>
          <w:szCs w:val="32"/>
          <w:highlight w:val="none"/>
        </w:rPr>
        <w:t>（</w:t>
      </w:r>
      <w:r>
        <w:rPr>
          <w:rFonts w:hint="eastAsia" w:ascii="楷体_GB2312" w:hAnsi="楷体_GB2312" w:eastAsia="楷体_GB2312" w:cs="楷体_GB2312"/>
          <w:color w:val="0C0C0C" w:themeColor="text1" w:themeTint="F2"/>
          <w:sz w:val="32"/>
          <w:szCs w:val="32"/>
          <w:highlight w:val="none"/>
          <w:lang w:eastAsia="zh-CN"/>
        </w:rPr>
        <w:t>再次征求意见稿</w:t>
      </w:r>
      <w:r>
        <w:rPr>
          <w:rFonts w:hint="eastAsia" w:ascii="楷体_GB2312" w:hAnsi="楷体_GB2312" w:eastAsia="楷体_GB2312" w:cs="楷体_GB2312"/>
          <w:color w:val="0C0C0C" w:themeColor="text1" w:themeTint="F2"/>
          <w:sz w:val="32"/>
          <w:szCs w:val="32"/>
          <w:highlight w:val="none"/>
        </w:rPr>
        <w:t>）</w:t>
      </w:r>
    </w:p>
    <w:p>
      <w:pPr>
        <w:spacing w:line="560" w:lineRule="exact"/>
        <w:rPr>
          <w:rFonts w:ascii="仿宋_GB2312" w:eastAsia="仿宋_GB2312"/>
          <w:color w:val="0C0C0C" w:themeColor="text1" w:themeTint="F2"/>
          <w:sz w:val="32"/>
          <w:szCs w:val="32"/>
          <w:highlight w:val="none"/>
        </w:rPr>
      </w:pP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为贯彻落实</w:t>
      </w:r>
      <w:r>
        <w:rPr>
          <w:rFonts w:hint="eastAsia" w:ascii="仿宋_GB2312" w:eastAsia="仿宋_GB2312"/>
          <w:color w:val="0C0C0C" w:themeColor="text1" w:themeTint="F2"/>
          <w:sz w:val="32"/>
          <w:szCs w:val="32"/>
          <w:highlight w:val="none"/>
          <w:lang w:val="en-US" w:eastAsia="zh-CN"/>
        </w:rPr>
        <w:t>国家、</w:t>
      </w:r>
      <w:r>
        <w:rPr>
          <w:rFonts w:hint="eastAsia" w:ascii="仿宋_GB2312" w:eastAsia="仿宋_GB2312"/>
          <w:color w:val="0C0C0C" w:themeColor="text1" w:themeTint="F2"/>
          <w:sz w:val="32"/>
          <w:szCs w:val="32"/>
          <w:highlight w:val="none"/>
        </w:rPr>
        <w:t>省装配式建筑</w:t>
      </w:r>
      <w:r>
        <w:rPr>
          <w:rFonts w:hint="eastAsia" w:ascii="仿宋_GB2312" w:eastAsia="仿宋_GB2312"/>
          <w:color w:val="0C0C0C" w:themeColor="text1" w:themeTint="F2"/>
          <w:sz w:val="32"/>
          <w:szCs w:val="32"/>
          <w:highlight w:val="none"/>
          <w:lang w:val="en-US" w:eastAsia="zh-CN"/>
        </w:rPr>
        <w:t>工作</w:t>
      </w:r>
      <w:r>
        <w:rPr>
          <w:rFonts w:hint="eastAsia" w:ascii="仿宋_GB2312" w:eastAsia="仿宋_GB2312"/>
          <w:color w:val="0C0C0C" w:themeColor="text1" w:themeTint="F2"/>
          <w:sz w:val="32"/>
          <w:szCs w:val="32"/>
          <w:highlight w:val="none"/>
        </w:rPr>
        <w:t>要求，加快推进全市装配式建筑发展，制定本办法。</w:t>
      </w:r>
    </w:p>
    <w:p>
      <w:pPr>
        <w:spacing w:line="560" w:lineRule="exact"/>
        <w:ind w:firstLine="640" w:firstLineChars="200"/>
        <w:rPr>
          <w:rFonts w:ascii="黑体" w:hAnsi="黑体" w:eastAsia="黑体"/>
          <w:color w:val="0C0C0C" w:themeColor="text1" w:themeTint="F2"/>
          <w:sz w:val="32"/>
          <w:szCs w:val="32"/>
          <w:highlight w:val="none"/>
        </w:rPr>
      </w:pPr>
      <w:r>
        <w:rPr>
          <w:rFonts w:hint="eastAsia" w:ascii="黑体" w:hAnsi="黑体" w:eastAsia="黑体"/>
          <w:color w:val="0C0C0C" w:themeColor="text1" w:themeTint="F2"/>
          <w:sz w:val="32"/>
          <w:szCs w:val="32"/>
          <w:highlight w:val="none"/>
        </w:rPr>
        <w:t>一、工作目标</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202</w:t>
      </w:r>
      <w:r>
        <w:rPr>
          <w:rFonts w:hint="eastAsia" w:ascii="仿宋_GB2312" w:eastAsia="仿宋_GB2312"/>
          <w:color w:val="0C0C0C" w:themeColor="text1" w:themeTint="F2"/>
          <w:sz w:val="32"/>
          <w:szCs w:val="32"/>
          <w:highlight w:val="none"/>
          <w:lang w:val="en-US" w:eastAsia="zh-CN"/>
        </w:rPr>
        <w:t>1</w:t>
      </w:r>
      <w:r>
        <w:rPr>
          <w:rFonts w:hint="eastAsia" w:ascii="仿宋_GB2312" w:eastAsia="仿宋_GB2312"/>
          <w:color w:val="0C0C0C" w:themeColor="text1" w:themeTint="F2"/>
          <w:sz w:val="32"/>
          <w:szCs w:val="32"/>
          <w:highlight w:val="none"/>
        </w:rPr>
        <w:t>年起，新建装配式建筑占新建建筑面积的比例逐年提高2%以上；到2025年新建装配式建筑占新建建筑面积的比例达30%以上，打造国家级装配式建筑产业基地、设计研发中心和示范工程，争创装配式建筑示范城市。</w:t>
      </w:r>
    </w:p>
    <w:p>
      <w:pPr>
        <w:spacing w:line="560" w:lineRule="exact"/>
        <w:ind w:firstLine="640" w:firstLineChars="200"/>
        <w:rPr>
          <w:rFonts w:ascii="黑体" w:hAnsi="黑体" w:eastAsia="黑体"/>
          <w:color w:val="0C0C0C" w:themeColor="text1" w:themeTint="F2"/>
          <w:sz w:val="32"/>
          <w:szCs w:val="32"/>
          <w:highlight w:val="none"/>
        </w:rPr>
      </w:pPr>
      <w:r>
        <w:rPr>
          <w:rFonts w:hint="eastAsia" w:ascii="黑体" w:hAnsi="黑体" w:eastAsia="黑体"/>
          <w:color w:val="0C0C0C" w:themeColor="text1" w:themeTint="F2"/>
          <w:sz w:val="32"/>
          <w:szCs w:val="32"/>
          <w:highlight w:val="none"/>
        </w:rPr>
        <w:t>二、实施范围</w:t>
      </w:r>
    </w:p>
    <w:p>
      <w:pPr>
        <w:spacing w:line="560" w:lineRule="exact"/>
        <w:ind w:firstLine="640" w:firstLineChars="200"/>
        <w:rPr>
          <w:rFonts w:ascii="楷体" w:hAnsi="楷体" w:eastAsia="楷体" w:cs="楷体"/>
          <w:bCs/>
          <w:color w:val="0C0C0C" w:themeColor="text1" w:themeTint="F2"/>
          <w:sz w:val="32"/>
          <w:szCs w:val="32"/>
          <w:highlight w:val="none"/>
        </w:rPr>
      </w:pPr>
      <w:r>
        <w:rPr>
          <w:rFonts w:hint="eastAsia" w:ascii="楷体" w:hAnsi="楷体" w:eastAsia="楷体" w:cs="楷体"/>
          <w:bCs/>
          <w:color w:val="0C0C0C" w:themeColor="text1" w:themeTint="F2"/>
          <w:sz w:val="32"/>
          <w:szCs w:val="32"/>
          <w:highlight w:val="none"/>
        </w:rPr>
        <w:t>（一）</w:t>
      </w:r>
      <w:r>
        <w:rPr>
          <w:rFonts w:hint="eastAsia" w:ascii="楷体" w:hAnsi="楷体" w:eastAsia="楷体" w:cs="楷体"/>
          <w:color w:val="0C0C0C" w:themeColor="text1" w:themeTint="F2"/>
          <w:sz w:val="32"/>
          <w:szCs w:val="32"/>
          <w:highlight w:val="none"/>
        </w:rPr>
        <w:t>应实施装配式建筑的新建项目</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hAnsi="仿宋_GB2312" w:eastAsia="仿宋_GB2312" w:cs="仿宋_GB2312"/>
          <w:color w:val="0C0C0C" w:themeColor="text1" w:themeTint="F2"/>
          <w:sz w:val="32"/>
          <w:szCs w:val="32"/>
          <w:highlight w:val="none"/>
        </w:rPr>
        <w:t>1.以招</w:t>
      </w:r>
      <w:r>
        <w:rPr>
          <w:rFonts w:hint="eastAsia" w:ascii="仿宋_GB2312" w:eastAsia="仿宋_GB2312"/>
          <w:color w:val="0C0C0C" w:themeColor="text1" w:themeTint="F2"/>
          <w:sz w:val="32"/>
          <w:szCs w:val="32"/>
          <w:highlight w:val="none"/>
        </w:rPr>
        <w:t>拍挂方式取得土地使用权的新建项目应实施装配式建筑，装配式建筑面积占总地上建筑面积比例不低于30%。</w:t>
      </w:r>
    </w:p>
    <w:p>
      <w:pPr>
        <w:spacing w:line="560" w:lineRule="exact"/>
        <w:ind w:firstLine="640" w:firstLineChars="200"/>
        <w:rPr>
          <w:rFonts w:ascii="仿宋_GB2312" w:eastAsia="仿宋_GB2312"/>
          <w:color w:val="0C0C0C" w:themeColor="text1" w:themeTint="F2"/>
          <w:sz w:val="32"/>
          <w:szCs w:val="32"/>
          <w:highlight w:val="none"/>
        </w:rPr>
      </w:pPr>
      <w:r>
        <w:rPr>
          <w:rFonts w:ascii="仿宋_GB2312" w:eastAsia="仿宋_GB2312"/>
          <w:color w:val="0C0C0C" w:themeColor="text1" w:themeTint="F2"/>
          <w:sz w:val="32"/>
          <w:szCs w:val="32"/>
          <w:highlight w:val="none"/>
        </w:rPr>
        <w:fldChar w:fldCharType="begin"/>
      </w:r>
      <w:r>
        <w:rPr>
          <w:rFonts w:ascii="仿宋_GB2312" w:eastAsia="仿宋_GB2312"/>
          <w:color w:val="0C0C0C" w:themeColor="text1" w:themeTint="F2"/>
          <w:sz w:val="32"/>
          <w:szCs w:val="32"/>
          <w:highlight w:val="none"/>
        </w:rPr>
        <w:instrText xml:space="preserve"> </w:instrText>
      </w:r>
      <w:r>
        <w:rPr>
          <w:rFonts w:hint="eastAsia" w:ascii="仿宋_GB2312" w:eastAsia="仿宋_GB2312"/>
          <w:color w:val="0C0C0C" w:themeColor="text1" w:themeTint="F2"/>
          <w:sz w:val="32"/>
          <w:szCs w:val="32"/>
          <w:highlight w:val="none"/>
        </w:rPr>
        <w:instrText xml:space="preserve">= 1 \* GB2</w:instrText>
      </w:r>
      <w:r>
        <w:rPr>
          <w:rFonts w:ascii="仿宋_GB2312" w:eastAsia="仿宋_GB2312"/>
          <w:color w:val="0C0C0C" w:themeColor="text1" w:themeTint="F2"/>
          <w:sz w:val="32"/>
          <w:szCs w:val="32"/>
          <w:highlight w:val="none"/>
        </w:rPr>
        <w:instrText xml:space="preserve"> </w:instrText>
      </w:r>
      <w:r>
        <w:rPr>
          <w:rFonts w:ascii="仿宋_GB2312" w:eastAsia="仿宋_GB2312"/>
          <w:color w:val="0C0C0C" w:themeColor="text1" w:themeTint="F2"/>
          <w:sz w:val="32"/>
          <w:szCs w:val="32"/>
          <w:highlight w:val="none"/>
        </w:rPr>
        <w:fldChar w:fldCharType="separate"/>
      </w:r>
      <w:r>
        <w:rPr>
          <w:rFonts w:hint="eastAsia" w:ascii="仿宋_GB2312" w:eastAsia="仿宋_GB2312"/>
          <w:color w:val="0C0C0C" w:themeColor="text1" w:themeTint="F2"/>
          <w:sz w:val="32"/>
          <w:szCs w:val="32"/>
          <w:highlight w:val="none"/>
        </w:rPr>
        <w:t>⑴</w:t>
      </w:r>
      <w:r>
        <w:rPr>
          <w:rFonts w:ascii="仿宋_GB2312" w:eastAsia="仿宋_GB2312"/>
          <w:color w:val="0C0C0C" w:themeColor="text1" w:themeTint="F2"/>
          <w:sz w:val="32"/>
          <w:szCs w:val="32"/>
          <w:highlight w:val="none"/>
        </w:rPr>
        <w:fldChar w:fldCharType="end"/>
      </w:r>
      <w:r>
        <w:rPr>
          <w:rFonts w:hint="eastAsia" w:ascii="仿宋_GB2312" w:eastAsia="仿宋_GB2312"/>
          <w:color w:val="0C0C0C" w:themeColor="text1" w:themeTint="F2"/>
          <w:sz w:val="32"/>
          <w:szCs w:val="32"/>
          <w:highlight w:val="none"/>
        </w:rPr>
        <w:t xml:space="preserve">地上建筑面积5万平方米（含）以上的住宅项目； </w:t>
      </w:r>
    </w:p>
    <w:p>
      <w:pPr>
        <w:spacing w:line="560" w:lineRule="exact"/>
        <w:ind w:firstLine="640" w:firstLineChars="200"/>
        <w:rPr>
          <w:rFonts w:ascii="仿宋_GB2312" w:eastAsia="仿宋_GB2312"/>
          <w:color w:val="0C0C0C" w:themeColor="text1" w:themeTint="F2"/>
          <w:sz w:val="32"/>
          <w:szCs w:val="32"/>
          <w:highlight w:val="none"/>
        </w:rPr>
      </w:pPr>
      <w:r>
        <w:rPr>
          <w:rFonts w:ascii="仿宋_GB2312" w:eastAsia="仿宋_GB2312"/>
          <w:color w:val="0C0C0C" w:themeColor="text1" w:themeTint="F2"/>
          <w:sz w:val="32"/>
          <w:szCs w:val="32"/>
          <w:highlight w:val="none"/>
        </w:rPr>
        <w:fldChar w:fldCharType="begin"/>
      </w:r>
      <w:r>
        <w:rPr>
          <w:rFonts w:ascii="仿宋_GB2312" w:eastAsia="仿宋_GB2312"/>
          <w:color w:val="0C0C0C" w:themeColor="text1" w:themeTint="F2"/>
          <w:sz w:val="32"/>
          <w:szCs w:val="32"/>
          <w:highlight w:val="none"/>
        </w:rPr>
        <w:instrText xml:space="preserve"> </w:instrText>
      </w:r>
      <w:r>
        <w:rPr>
          <w:rFonts w:hint="eastAsia" w:ascii="仿宋_GB2312" w:eastAsia="仿宋_GB2312"/>
          <w:color w:val="0C0C0C" w:themeColor="text1" w:themeTint="F2"/>
          <w:sz w:val="32"/>
          <w:szCs w:val="32"/>
          <w:highlight w:val="none"/>
        </w:rPr>
        <w:instrText xml:space="preserve">= 2 \* GB2</w:instrText>
      </w:r>
      <w:r>
        <w:rPr>
          <w:rFonts w:ascii="仿宋_GB2312" w:eastAsia="仿宋_GB2312"/>
          <w:color w:val="0C0C0C" w:themeColor="text1" w:themeTint="F2"/>
          <w:sz w:val="32"/>
          <w:szCs w:val="32"/>
          <w:highlight w:val="none"/>
        </w:rPr>
        <w:instrText xml:space="preserve"> </w:instrText>
      </w:r>
      <w:r>
        <w:rPr>
          <w:rFonts w:ascii="仿宋_GB2312" w:eastAsia="仿宋_GB2312"/>
          <w:color w:val="0C0C0C" w:themeColor="text1" w:themeTint="F2"/>
          <w:sz w:val="32"/>
          <w:szCs w:val="32"/>
          <w:highlight w:val="none"/>
        </w:rPr>
        <w:fldChar w:fldCharType="separate"/>
      </w:r>
      <w:r>
        <w:rPr>
          <w:rFonts w:hint="eastAsia" w:ascii="仿宋_GB2312" w:eastAsia="仿宋_GB2312"/>
          <w:color w:val="0C0C0C" w:themeColor="text1" w:themeTint="F2"/>
          <w:sz w:val="32"/>
          <w:szCs w:val="32"/>
          <w:highlight w:val="none"/>
        </w:rPr>
        <w:t>⑵</w:t>
      </w:r>
      <w:r>
        <w:rPr>
          <w:rFonts w:ascii="仿宋_GB2312" w:eastAsia="仿宋_GB2312"/>
          <w:color w:val="0C0C0C" w:themeColor="text1" w:themeTint="F2"/>
          <w:sz w:val="32"/>
          <w:szCs w:val="32"/>
          <w:highlight w:val="none"/>
        </w:rPr>
        <w:fldChar w:fldCharType="end"/>
      </w:r>
      <w:r>
        <w:rPr>
          <w:rFonts w:hint="eastAsia" w:ascii="仿宋_GB2312" w:eastAsia="仿宋_GB2312"/>
          <w:color w:val="0C0C0C" w:themeColor="text1" w:themeTint="F2"/>
          <w:sz w:val="32"/>
          <w:szCs w:val="32"/>
          <w:highlight w:val="none"/>
        </w:rPr>
        <w:t>地上建筑面积2万平方米（含）以上的工业建筑项目；</w:t>
      </w:r>
    </w:p>
    <w:p>
      <w:pPr>
        <w:spacing w:line="560" w:lineRule="exact"/>
        <w:ind w:firstLine="640" w:firstLineChars="200"/>
        <w:rPr>
          <w:rFonts w:ascii="仿宋_GB2312" w:eastAsia="仿宋_GB2312"/>
          <w:color w:val="0C0C0C" w:themeColor="text1" w:themeTint="F2"/>
          <w:sz w:val="32"/>
          <w:szCs w:val="32"/>
          <w:highlight w:val="none"/>
        </w:rPr>
      </w:pPr>
      <w:r>
        <w:rPr>
          <w:rFonts w:ascii="仿宋_GB2312" w:eastAsia="仿宋_GB2312"/>
          <w:color w:val="0C0C0C" w:themeColor="text1" w:themeTint="F2"/>
          <w:sz w:val="32"/>
          <w:szCs w:val="32"/>
          <w:highlight w:val="none"/>
        </w:rPr>
        <w:fldChar w:fldCharType="begin"/>
      </w:r>
      <w:r>
        <w:rPr>
          <w:rFonts w:ascii="仿宋_GB2312" w:eastAsia="仿宋_GB2312"/>
          <w:color w:val="0C0C0C" w:themeColor="text1" w:themeTint="F2"/>
          <w:sz w:val="32"/>
          <w:szCs w:val="32"/>
          <w:highlight w:val="none"/>
        </w:rPr>
        <w:instrText xml:space="preserve"> </w:instrText>
      </w:r>
      <w:r>
        <w:rPr>
          <w:rFonts w:hint="eastAsia" w:ascii="仿宋_GB2312" w:eastAsia="仿宋_GB2312"/>
          <w:color w:val="0C0C0C" w:themeColor="text1" w:themeTint="F2"/>
          <w:sz w:val="32"/>
          <w:szCs w:val="32"/>
          <w:highlight w:val="none"/>
        </w:rPr>
        <w:instrText xml:space="preserve">= 3 \* GB2</w:instrText>
      </w:r>
      <w:r>
        <w:rPr>
          <w:rFonts w:ascii="仿宋_GB2312" w:eastAsia="仿宋_GB2312"/>
          <w:color w:val="0C0C0C" w:themeColor="text1" w:themeTint="F2"/>
          <w:sz w:val="32"/>
          <w:szCs w:val="32"/>
          <w:highlight w:val="none"/>
        </w:rPr>
        <w:instrText xml:space="preserve"> </w:instrText>
      </w:r>
      <w:r>
        <w:rPr>
          <w:rFonts w:ascii="仿宋_GB2312" w:eastAsia="仿宋_GB2312"/>
          <w:color w:val="0C0C0C" w:themeColor="text1" w:themeTint="F2"/>
          <w:sz w:val="32"/>
          <w:szCs w:val="32"/>
          <w:highlight w:val="none"/>
        </w:rPr>
        <w:fldChar w:fldCharType="separate"/>
      </w:r>
      <w:r>
        <w:rPr>
          <w:rFonts w:hint="eastAsia" w:ascii="仿宋_GB2312" w:eastAsia="仿宋_GB2312"/>
          <w:color w:val="0C0C0C" w:themeColor="text1" w:themeTint="F2"/>
          <w:sz w:val="32"/>
          <w:szCs w:val="32"/>
          <w:highlight w:val="none"/>
        </w:rPr>
        <w:t>⑶</w:t>
      </w:r>
      <w:r>
        <w:rPr>
          <w:rFonts w:ascii="仿宋_GB2312" w:eastAsia="仿宋_GB2312"/>
          <w:color w:val="0C0C0C" w:themeColor="text1" w:themeTint="F2"/>
          <w:sz w:val="32"/>
          <w:szCs w:val="32"/>
          <w:highlight w:val="none"/>
        </w:rPr>
        <w:fldChar w:fldCharType="end"/>
      </w:r>
      <w:r>
        <w:rPr>
          <w:rFonts w:hint="eastAsia" w:ascii="仿宋_GB2312" w:eastAsia="仿宋_GB2312"/>
          <w:color w:val="0C0C0C" w:themeColor="text1" w:themeTint="F2"/>
          <w:sz w:val="32"/>
          <w:szCs w:val="32"/>
          <w:highlight w:val="none"/>
        </w:rPr>
        <w:t>地上建筑面积2万平方米（含）以上公共建筑项目，包括商业综合体、办公楼、酒店等。</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2.政府投资建设的</w:t>
      </w:r>
      <w:r>
        <w:rPr>
          <w:rFonts w:hint="eastAsia" w:ascii="仿宋_GB2312" w:eastAsia="仿宋_GB2312"/>
          <w:color w:val="0C0C0C" w:themeColor="text1" w:themeTint="F2"/>
          <w:sz w:val="32"/>
          <w:szCs w:val="32"/>
          <w:highlight w:val="none"/>
          <w:lang w:val="en-US" w:eastAsia="zh-CN"/>
        </w:rPr>
        <w:t>2</w:t>
      </w:r>
      <w:r>
        <w:rPr>
          <w:rFonts w:hint="eastAsia" w:ascii="仿宋_GB2312" w:eastAsia="仿宋_GB2312"/>
          <w:color w:val="0C0C0C" w:themeColor="text1" w:themeTint="F2"/>
          <w:sz w:val="32"/>
          <w:szCs w:val="32"/>
          <w:highlight w:val="none"/>
        </w:rPr>
        <w:t>万平方米（含）以上的住宅项目应全部实施装配式建筑，包括保障房、安置房等</w:t>
      </w:r>
      <w:r>
        <w:rPr>
          <w:rFonts w:hint="eastAsia" w:ascii="仿宋_GB2312" w:eastAsia="仿宋_GB2312"/>
          <w:color w:val="0C0C0C" w:themeColor="text1" w:themeTint="F2"/>
          <w:sz w:val="32"/>
          <w:szCs w:val="32"/>
          <w:highlight w:val="none"/>
          <w:lang w:eastAsia="zh-CN"/>
        </w:rPr>
        <w:t>；</w:t>
      </w:r>
      <w:r>
        <w:rPr>
          <w:rFonts w:hint="eastAsia" w:ascii="仿宋_GB2312" w:eastAsia="仿宋_GB2312"/>
          <w:color w:val="0C0C0C" w:themeColor="text1" w:themeTint="F2"/>
          <w:sz w:val="32"/>
          <w:szCs w:val="32"/>
          <w:highlight w:val="none"/>
        </w:rPr>
        <w:t>鼓励医院、学校等公共建筑采用钢结构</w:t>
      </w:r>
      <w:r>
        <w:rPr>
          <w:rFonts w:hint="eastAsia" w:ascii="仿宋_GB2312" w:eastAsia="仿宋_GB2312"/>
          <w:color w:val="0C0C0C" w:themeColor="text1" w:themeTint="F2"/>
          <w:sz w:val="32"/>
          <w:szCs w:val="32"/>
          <w:highlight w:val="none"/>
          <w:lang w:eastAsia="zh-CN"/>
        </w:rPr>
        <w:t>装配式建筑。</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3.鼓励市政基础设施项目</w:t>
      </w:r>
      <w:r>
        <w:rPr>
          <w:rFonts w:hint="eastAsia" w:ascii="仿宋_GB2312" w:eastAsia="仿宋_GB2312"/>
          <w:color w:val="0C0C0C" w:themeColor="text1" w:themeTint="F2"/>
          <w:sz w:val="32"/>
          <w:szCs w:val="32"/>
          <w:highlight w:val="none"/>
          <w:lang w:eastAsia="zh-CN"/>
        </w:rPr>
        <w:t>采用钢结构桥梁等</w:t>
      </w:r>
      <w:r>
        <w:rPr>
          <w:rFonts w:hint="eastAsia" w:ascii="仿宋_GB2312" w:eastAsia="仿宋_GB2312"/>
          <w:color w:val="0C0C0C" w:themeColor="text1" w:themeTint="F2"/>
          <w:sz w:val="32"/>
          <w:szCs w:val="32"/>
          <w:highlight w:val="none"/>
        </w:rPr>
        <w:t>装配式建筑</w:t>
      </w:r>
      <w:r>
        <w:rPr>
          <w:rFonts w:hint="eastAsia" w:ascii="仿宋_GB2312" w:eastAsia="仿宋_GB2312"/>
          <w:color w:val="0C0C0C" w:themeColor="text1" w:themeTint="F2"/>
          <w:sz w:val="32"/>
          <w:szCs w:val="32"/>
          <w:highlight w:val="none"/>
          <w:lang w:eastAsia="zh-CN"/>
        </w:rPr>
        <w:t>形式</w:t>
      </w:r>
      <w:r>
        <w:rPr>
          <w:rFonts w:hint="eastAsia" w:ascii="仿宋_GB2312" w:eastAsia="仿宋_GB2312"/>
          <w:color w:val="0C0C0C" w:themeColor="text1" w:themeTint="F2"/>
          <w:sz w:val="32"/>
          <w:szCs w:val="32"/>
          <w:highlight w:val="none"/>
        </w:rPr>
        <w:t>。</w:t>
      </w:r>
    </w:p>
    <w:p>
      <w:pPr>
        <w:spacing w:line="560" w:lineRule="exact"/>
        <w:ind w:firstLine="643" w:firstLineChars="200"/>
        <w:rPr>
          <w:rFonts w:hint="eastAsia" w:ascii="楷体" w:hAnsi="楷体" w:eastAsia="楷体" w:cs="楷体"/>
          <w:b/>
          <w:bCs/>
          <w:color w:val="0C0C0C" w:themeColor="text1" w:themeTint="F2"/>
          <w:sz w:val="32"/>
          <w:szCs w:val="32"/>
          <w:highlight w:val="none"/>
        </w:rPr>
      </w:pPr>
      <w:r>
        <w:rPr>
          <w:rFonts w:hint="eastAsia" w:ascii="楷体" w:hAnsi="楷体" w:eastAsia="楷体" w:cs="楷体"/>
          <w:b/>
          <w:bCs/>
          <w:color w:val="0C0C0C" w:themeColor="text1" w:themeTint="F2"/>
          <w:sz w:val="32"/>
          <w:szCs w:val="32"/>
          <w:highlight w:val="none"/>
        </w:rPr>
        <w:t>注：</w:t>
      </w:r>
      <w:r>
        <w:rPr>
          <w:rFonts w:hint="eastAsia" w:ascii="楷体" w:hAnsi="楷体" w:eastAsia="楷体" w:cs="楷体"/>
          <w:b/>
          <w:bCs/>
          <w:color w:val="0C0C0C" w:themeColor="text1" w:themeTint="F2"/>
          <w:sz w:val="32"/>
          <w:szCs w:val="32"/>
          <w:highlight w:val="none"/>
          <w:lang w:val="en-US" w:eastAsia="zh-CN"/>
        </w:rPr>
        <w:t>1.</w:t>
      </w:r>
      <w:r>
        <w:rPr>
          <w:rFonts w:hint="eastAsia" w:ascii="楷体" w:hAnsi="楷体" w:eastAsia="楷体" w:cs="楷体"/>
          <w:b/>
          <w:bCs/>
          <w:color w:val="0C0C0C" w:themeColor="text1" w:themeTint="F2"/>
          <w:sz w:val="32"/>
          <w:szCs w:val="32"/>
          <w:highlight w:val="none"/>
        </w:rPr>
        <w:t>项目划分以出让或划拨土地为单位，同一出让或划拨土地的全部单体建筑为一个项目。</w:t>
      </w:r>
    </w:p>
    <w:p>
      <w:pPr>
        <w:spacing w:line="560" w:lineRule="exact"/>
        <w:ind w:firstLine="643" w:firstLineChars="200"/>
        <w:rPr>
          <w:rFonts w:ascii="楷体" w:hAnsi="楷体" w:eastAsia="楷体" w:cs="楷体"/>
          <w:b/>
          <w:bCs/>
          <w:color w:val="0C0C0C" w:themeColor="text1" w:themeTint="F2"/>
          <w:sz w:val="32"/>
          <w:szCs w:val="32"/>
        </w:rPr>
      </w:pPr>
      <w:r>
        <w:rPr>
          <w:rFonts w:hint="eastAsia" w:ascii="楷体" w:hAnsi="楷体" w:eastAsia="楷体" w:cs="楷体"/>
          <w:b/>
          <w:bCs/>
          <w:color w:val="0C0C0C" w:themeColor="text1" w:themeTint="F2"/>
          <w:sz w:val="32"/>
          <w:szCs w:val="32"/>
          <w:highlight w:val="none"/>
          <w:lang w:val="en-US" w:eastAsia="zh-CN"/>
        </w:rPr>
        <w:t>2.</w:t>
      </w:r>
      <w:r>
        <w:rPr>
          <w:rFonts w:hint="eastAsia" w:ascii="楷体" w:hAnsi="楷体" w:eastAsia="楷体" w:cs="楷体"/>
          <w:b/>
          <w:bCs/>
          <w:color w:val="0C0C0C" w:themeColor="text1" w:themeTint="F2"/>
          <w:sz w:val="32"/>
          <w:szCs w:val="32"/>
        </w:rPr>
        <w:t>装配式建筑装配率应不低于50%，具体评价标准应符合《长春市装配式建筑评价导则（试行）》相关规定（见附件）。</w:t>
      </w:r>
      <w:bookmarkStart w:id="0" w:name="_GoBack"/>
      <w:bookmarkEnd w:id="0"/>
    </w:p>
    <w:p>
      <w:pPr>
        <w:spacing w:line="560" w:lineRule="exact"/>
        <w:ind w:firstLine="640" w:firstLineChars="200"/>
        <w:rPr>
          <w:rFonts w:ascii="楷体" w:hAnsi="楷体" w:eastAsia="楷体" w:cs="楷体"/>
          <w:bCs/>
          <w:color w:val="0C0C0C" w:themeColor="text1" w:themeTint="F2"/>
          <w:sz w:val="32"/>
          <w:szCs w:val="32"/>
          <w:highlight w:val="none"/>
        </w:rPr>
      </w:pPr>
      <w:r>
        <w:rPr>
          <w:rFonts w:hint="eastAsia" w:ascii="楷体" w:hAnsi="楷体" w:eastAsia="楷体" w:cs="楷体"/>
          <w:bCs/>
          <w:color w:val="0C0C0C" w:themeColor="text1" w:themeTint="F2"/>
          <w:sz w:val="32"/>
          <w:szCs w:val="32"/>
          <w:highlight w:val="none"/>
        </w:rPr>
        <w:t>（二）</w:t>
      </w:r>
      <w:r>
        <w:rPr>
          <w:rFonts w:hint="eastAsia" w:ascii="楷体" w:hAnsi="楷体" w:eastAsia="楷体" w:cs="楷体"/>
          <w:color w:val="0C0C0C" w:themeColor="text1" w:themeTint="F2"/>
          <w:sz w:val="32"/>
          <w:szCs w:val="32"/>
          <w:highlight w:val="none"/>
        </w:rPr>
        <w:t>上述范围内，可不采用装配式建筑的项目</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1.建设项目中独立设置的构筑物、配套附属设施（垃圾房、配电房、门卫等）；</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2.长春市《关于加快发展装配式建筑的实施意见》（2017年8月21日）发布前确定</w:t>
      </w:r>
      <w:r>
        <w:rPr>
          <w:rFonts w:hint="eastAsia" w:ascii="仿宋_GB2312" w:eastAsia="仿宋_GB2312"/>
          <w:color w:val="0C0C0C" w:themeColor="text1" w:themeTint="F2"/>
          <w:sz w:val="32"/>
          <w:szCs w:val="32"/>
          <w:highlight w:val="none"/>
          <w:lang w:val="en-US" w:eastAsia="zh-CN"/>
        </w:rPr>
        <w:t>建设单位</w:t>
      </w:r>
      <w:r>
        <w:rPr>
          <w:rFonts w:hint="eastAsia" w:ascii="仿宋_GB2312" w:eastAsia="仿宋_GB2312"/>
          <w:color w:val="0C0C0C" w:themeColor="text1" w:themeTint="F2"/>
          <w:sz w:val="32"/>
          <w:szCs w:val="32"/>
          <w:highlight w:val="none"/>
        </w:rPr>
        <w:t>的棚户区改造项目（以中标通知书为准）；</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3.技术条件特殊，不宜实施装配式建筑的项目（经市装配式建筑领导小组办公室组织论证，报市装配式建筑领导小组审核）。</w:t>
      </w:r>
    </w:p>
    <w:p>
      <w:pPr>
        <w:spacing w:line="560" w:lineRule="exact"/>
        <w:ind w:firstLine="640" w:firstLineChars="200"/>
        <w:rPr>
          <w:rFonts w:ascii="黑体" w:hAnsi="黑体" w:eastAsia="黑体"/>
          <w:color w:val="0C0C0C" w:themeColor="text1" w:themeTint="F2"/>
          <w:sz w:val="32"/>
          <w:szCs w:val="32"/>
          <w:highlight w:val="none"/>
        </w:rPr>
      </w:pPr>
      <w:r>
        <w:rPr>
          <w:rFonts w:hint="eastAsia" w:ascii="黑体" w:hAnsi="黑体" w:eastAsia="黑体"/>
          <w:color w:val="0C0C0C" w:themeColor="text1" w:themeTint="F2"/>
          <w:sz w:val="32"/>
          <w:szCs w:val="32"/>
          <w:highlight w:val="none"/>
        </w:rPr>
        <w:t>三、具体措施</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（一）</w:t>
      </w:r>
      <w:r>
        <w:rPr>
          <w:rFonts w:hint="eastAsia" w:ascii="仿宋_GB2312" w:eastAsia="仿宋_GB2312"/>
          <w:color w:val="0C0C0C" w:themeColor="text1" w:themeTint="F2"/>
          <w:sz w:val="32"/>
          <w:szCs w:val="32"/>
          <w:highlight w:val="none"/>
        </w:rPr>
        <w:t>政府投资项目立项阶段，应将采用装配式建筑纳入可行性研究报告，并将采用装配式建筑技术所产生的成本列入投资概算。</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市发改委，城区政府、开发区管委会</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（二）</w:t>
      </w:r>
      <w:r>
        <w:rPr>
          <w:rFonts w:hint="eastAsia" w:ascii="仿宋_GB2312" w:eastAsia="仿宋_GB2312"/>
          <w:color w:val="0C0C0C" w:themeColor="text1" w:themeTint="F2"/>
          <w:sz w:val="32"/>
          <w:szCs w:val="32"/>
          <w:highlight w:val="none"/>
        </w:rPr>
        <w:t>土地出让阶段，将装配式建筑面积比例和装配率纳入</w:t>
      </w:r>
      <w:r>
        <w:rPr>
          <w:rFonts w:hint="eastAsia" w:ascii="仿宋_GB2312" w:eastAsia="仿宋_GB2312"/>
          <w:color w:val="0C0C0C" w:themeColor="text1" w:themeTint="F2"/>
          <w:sz w:val="32"/>
          <w:szCs w:val="32"/>
          <w:highlight w:val="none"/>
          <w:lang w:val="en-US" w:eastAsia="zh-CN"/>
        </w:rPr>
        <w:t>国有</w:t>
      </w:r>
      <w:r>
        <w:rPr>
          <w:rFonts w:hint="eastAsia" w:ascii="仿宋_GB2312" w:eastAsia="仿宋_GB2312"/>
          <w:color w:val="0C0C0C" w:themeColor="text1" w:themeTint="F2"/>
          <w:sz w:val="32"/>
          <w:szCs w:val="32"/>
          <w:highlight w:val="none"/>
        </w:rPr>
        <w:t>土地出让合同。</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市规自局</w:t>
      </w:r>
    </w:p>
    <w:p>
      <w:pPr>
        <w:spacing w:line="560" w:lineRule="exact"/>
        <w:ind w:firstLine="640" w:firstLineChars="200"/>
        <w:rPr>
          <w:rFonts w:ascii="楷体_GB2312" w:eastAsia="楷体_GB2312"/>
          <w:bCs/>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（三）</w:t>
      </w:r>
      <w:r>
        <w:rPr>
          <w:rFonts w:hint="eastAsia" w:ascii="仿宋_GB2312" w:eastAsia="仿宋_GB2312"/>
          <w:color w:val="0C0C0C" w:themeColor="text1" w:themeTint="F2"/>
          <w:sz w:val="32"/>
          <w:szCs w:val="32"/>
          <w:highlight w:val="none"/>
        </w:rPr>
        <w:t>参建单位严格落实装配式建筑主体责任。</w:t>
      </w:r>
    </w:p>
    <w:p>
      <w:pPr>
        <w:spacing w:line="560" w:lineRule="exact"/>
        <w:ind w:firstLine="640" w:firstLineChars="200"/>
        <w:rPr>
          <w:rFonts w:hint="eastAsia" w:ascii="仿宋_GB2312" w:eastAsia="仿宋_GB2312"/>
          <w:color w:val="0C0C0C" w:themeColor="text1" w:themeTint="F2"/>
          <w:sz w:val="32"/>
          <w:szCs w:val="32"/>
          <w:highlight w:val="none"/>
          <w:lang w:val="en-US" w:eastAsia="zh-CN"/>
        </w:rPr>
      </w:pPr>
      <w:r>
        <w:rPr>
          <w:rFonts w:hint="eastAsia" w:ascii="楷体_GB2312" w:eastAsia="楷体_GB2312"/>
          <w:bCs/>
          <w:color w:val="0C0C0C" w:themeColor="text1" w:themeTint="F2"/>
          <w:sz w:val="32"/>
          <w:szCs w:val="32"/>
          <w:highlight w:val="none"/>
        </w:rPr>
        <w:t>1.</w:t>
      </w:r>
      <w:r>
        <w:rPr>
          <w:rFonts w:hint="eastAsia" w:ascii="仿宋_GB2312" w:eastAsia="仿宋_GB2312"/>
          <w:color w:val="0C0C0C" w:themeColor="text1" w:themeTint="F2"/>
          <w:sz w:val="32"/>
          <w:szCs w:val="32"/>
          <w:highlight w:val="none"/>
        </w:rPr>
        <w:t>建设单位应将装配式建筑要求纳入设计、施工、监理合同。</w:t>
      </w:r>
      <w:r>
        <w:rPr>
          <w:rFonts w:hint="eastAsia" w:ascii="仿宋_GB2312" w:eastAsia="仿宋_GB2312"/>
          <w:color w:val="0C0C0C" w:themeColor="text1" w:themeTint="F2"/>
          <w:sz w:val="32"/>
          <w:szCs w:val="32"/>
          <w:highlight w:val="none"/>
          <w:lang w:val="en-US" w:eastAsia="zh-CN"/>
        </w:rPr>
        <w:t xml:space="preserve"> </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2.设计</w:t>
      </w:r>
      <w:r>
        <w:rPr>
          <w:rFonts w:hint="eastAsia" w:ascii="仿宋_GB2312" w:eastAsia="仿宋_GB2312"/>
          <w:color w:val="0C0C0C" w:themeColor="text1" w:themeTint="F2"/>
          <w:sz w:val="32"/>
          <w:szCs w:val="32"/>
          <w:highlight w:val="none"/>
          <w:lang w:val="en-US" w:eastAsia="zh-CN"/>
        </w:rPr>
        <w:t>单位</w:t>
      </w:r>
      <w:r>
        <w:rPr>
          <w:rFonts w:hint="eastAsia" w:ascii="仿宋_GB2312" w:eastAsia="仿宋_GB2312"/>
          <w:color w:val="0C0C0C" w:themeColor="text1" w:themeTint="F2"/>
          <w:sz w:val="32"/>
          <w:szCs w:val="32"/>
          <w:highlight w:val="none"/>
        </w:rPr>
        <w:t>应以交付全装修建筑产品为目标，一次达到设计深度</w:t>
      </w:r>
      <w:r>
        <w:rPr>
          <w:rFonts w:hint="eastAsia" w:ascii="仿宋_GB2312" w:eastAsia="仿宋_GB2312"/>
          <w:color w:val="0C0C0C" w:themeColor="text1" w:themeTint="F2"/>
          <w:sz w:val="32"/>
          <w:szCs w:val="32"/>
          <w:highlight w:val="none"/>
          <w:lang w:eastAsia="zh-CN"/>
        </w:rPr>
        <w:t>，</w:t>
      </w:r>
      <w:r>
        <w:rPr>
          <w:rFonts w:hint="eastAsia" w:ascii="仿宋_GB2312" w:eastAsia="仿宋_GB2312"/>
          <w:color w:val="0C0C0C" w:themeColor="text1" w:themeTint="F2"/>
          <w:sz w:val="32"/>
          <w:szCs w:val="32"/>
          <w:highlight w:val="none"/>
        </w:rPr>
        <w:t>编制装配式建筑项目装配率计算书和实施方案，满足建筑主体和全装修施工需求。</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3.施工</w:t>
      </w:r>
      <w:r>
        <w:rPr>
          <w:rFonts w:hint="eastAsia" w:ascii="仿宋_GB2312" w:eastAsia="仿宋_GB2312"/>
          <w:color w:val="0C0C0C" w:themeColor="text1" w:themeTint="F2"/>
          <w:sz w:val="32"/>
          <w:szCs w:val="32"/>
          <w:highlight w:val="none"/>
          <w:lang w:val="en-US" w:eastAsia="zh-CN"/>
        </w:rPr>
        <w:t>单位</w:t>
      </w:r>
      <w:r>
        <w:rPr>
          <w:rFonts w:hint="eastAsia" w:ascii="仿宋_GB2312" w:eastAsia="仿宋_GB2312"/>
          <w:color w:val="0C0C0C" w:themeColor="text1" w:themeTint="F2"/>
          <w:sz w:val="32"/>
          <w:szCs w:val="32"/>
          <w:highlight w:val="none"/>
        </w:rPr>
        <w:t>应结合装配式建筑施工工艺编制施工组织设计和质量安全专项施工方案，强化现场钢筋套筒连接、灌浆等工序管理，实行装配式建筑装修与主体结构、机电设备协同施工。</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4.监理</w:t>
      </w:r>
      <w:r>
        <w:rPr>
          <w:rFonts w:hint="eastAsia" w:ascii="仿宋_GB2312" w:eastAsia="仿宋_GB2312"/>
          <w:color w:val="0C0C0C" w:themeColor="text1" w:themeTint="F2"/>
          <w:sz w:val="32"/>
          <w:szCs w:val="32"/>
          <w:highlight w:val="none"/>
          <w:lang w:val="en-US" w:eastAsia="zh-CN"/>
        </w:rPr>
        <w:t>单位</w:t>
      </w:r>
      <w:r>
        <w:rPr>
          <w:rFonts w:hint="eastAsia" w:ascii="仿宋_GB2312" w:eastAsia="仿宋_GB2312"/>
          <w:color w:val="0C0C0C" w:themeColor="text1" w:themeTint="F2"/>
          <w:sz w:val="32"/>
          <w:szCs w:val="32"/>
          <w:highlight w:val="none"/>
        </w:rPr>
        <w:t>应对生产预制部品部件的</w:t>
      </w:r>
      <w:r>
        <w:rPr>
          <w:rFonts w:hint="eastAsia" w:ascii="仿宋_GB2312" w:eastAsia="仿宋_GB2312"/>
          <w:color w:val="0C0C0C" w:themeColor="text1" w:themeTint="F2"/>
          <w:sz w:val="32"/>
          <w:szCs w:val="32"/>
          <w:highlight w:val="none"/>
        </w:rPr>
        <w:t>主要材料、辅助材料、预留预埋部件、连接件等进行质量证明文件查验，执行见证取样送检制度，对预制结构部件拼装、钢筋套筒连接、灌浆等关键工序实施旁站监理，并留存影像资料。</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5.预制部件生产</w:t>
      </w:r>
      <w:r>
        <w:rPr>
          <w:rFonts w:hint="eastAsia" w:ascii="仿宋_GB2312" w:eastAsia="仿宋_GB2312"/>
          <w:color w:val="0C0C0C" w:themeColor="text1" w:themeTint="F2"/>
          <w:sz w:val="32"/>
          <w:szCs w:val="32"/>
          <w:highlight w:val="none"/>
          <w:lang w:val="en-US" w:eastAsia="zh-CN"/>
        </w:rPr>
        <w:t>单位</w:t>
      </w:r>
      <w:r>
        <w:rPr>
          <w:rFonts w:hint="eastAsia" w:ascii="仿宋_GB2312" w:eastAsia="仿宋_GB2312"/>
          <w:color w:val="0C0C0C" w:themeColor="text1" w:themeTint="F2"/>
          <w:sz w:val="32"/>
          <w:szCs w:val="32"/>
          <w:highlight w:val="none"/>
        </w:rPr>
        <w:t>应接受建设单位的驻厂监理监</w:t>
      </w:r>
      <w:r>
        <w:rPr>
          <w:rFonts w:hint="eastAsia" w:ascii="仿宋_GB2312" w:eastAsia="仿宋_GB2312"/>
          <w:color w:val="0C0C0C" w:themeColor="text1" w:themeTint="F2"/>
          <w:sz w:val="32"/>
          <w:szCs w:val="32"/>
          <w:highlight w:val="none"/>
        </w:rPr>
        <w:t>督，实行全过程质量责任追溯，预制部件出厂合格证应由驻厂监理工程师签认，未经签认的，不得安装使用。</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rPr>
        <w:t>6.施工图审查和论证的有关机构或专家应对装配式建筑设计部分进行政策性和技术性专项审查或论证，出具明确意见。施工图设计文件变更涉及</w:t>
      </w:r>
      <w:r>
        <w:rPr>
          <w:rFonts w:hint="eastAsia" w:ascii="仿宋_GB2312" w:eastAsia="仿宋_GB2312"/>
          <w:color w:val="0C0C0C" w:themeColor="text1" w:themeTint="F2"/>
          <w:sz w:val="32"/>
          <w:szCs w:val="32"/>
          <w:highlight w:val="none"/>
          <w:lang w:val="en-US" w:eastAsia="zh-CN"/>
        </w:rPr>
        <w:t>装配式建筑面积或</w:t>
      </w:r>
      <w:r>
        <w:rPr>
          <w:rFonts w:hint="eastAsia" w:ascii="仿宋_GB2312" w:eastAsia="仿宋_GB2312"/>
          <w:color w:val="0C0C0C" w:themeColor="text1" w:themeTint="F2"/>
          <w:sz w:val="32"/>
          <w:szCs w:val="32"/>
          <w:highlight w:val="none"/>
        </w:rPr>
        <w:t>装配率变化的，需</w:t>
      </w:r>
      <w:r>
        <w:rPr>
          <w:rFonts w:hint="eastAsia" w:ascii="仿宋_GB2312" w:eastAsia="仿宋_GB2312"/>
          <w:color w:val="0C0C0C" w:themeColor="text1" w:themeTint="F2"/>
          <w:sz w:val="32"/>
          <w:szCs w:val="32"/>
          <w:highlight w:val="none"/>
          <w:lang w:val="en-US" w:eastAsia="zh-CN"/>
        </w:rPr>
        <w:t>重新进行</w:t>
      </w:r>
      <w:r>
        <w:rPr>
          <w:rFonts w:hint="eastAsia" w:ascii="仿宋_GB2312" w:eastAsia="仿宋_GB2312"/>
          <w:color w:val="0C0C0C" w:themeColor="text1" w:themeTint="F2"/>
          <w:sz w:val="32"/>
          <w:szCs w:val="32"/>
          <w:highlight w:val="none"/>
        </w:rPr>
        <w:t>施工图审查或专家论证。</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市建委，开发区管委会</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（四）</w:t>
      </w:r>
      <w:r>
        <w:rPr>
          <w:rFonts w:hint="eastAsia" w:ascii="仿宋_GB2312" w:eastAsia="仿宋_GB2312"/>
          <w:color w:val="0C0C0C" w:themeColor="text1" w:themeTint="F2"/>
          <w:sz w:val="32"/>
          <w:szCs w:val="32"/>
          <w:highlight w:val="none"/>
        </w:rPr>
        <w:t>装配式建筑适用开工审批“绿色通道”提前进场有关政策，在重污染天气期间，装配式建筑在非土石方作业的施工环节可不停工。按照《装配式混凝土结构建筑施工质量控制要点》，监督装配式建筑竣工验收</w:t>
      </w:r>
      <w:r>
        <w:rPr>
          <w:rFonts w:hint="eastAsia" w:ascii="仿宋_GB2312" w:eastAsia="仿宋_GB2312"/>
          <w:color w:val="0C0C0C" w:themeColor="text1" w:themeTint="F2"/>
          <w:sz w:val="32"/>
          <w:szCs w:val="32"/>
          <w:highlight w:val="none"/>
          <w:lang w:eastAsia="zh-CN"/>
        </w:rPr>
        <w:t>，</w:t>
      </w:r>
      <w:r>
        <w:rPr>
          <w:rFonts w:hint="eastAsia" w:ascii="仿宋_GB2312" w:eastAsia="仿宋_GB2312"/>
          <w:color w:val="0C0C0C" w:themeColor="text1" w:themeTint="F2"/>
          <w:sz w:val="32"/>
          <w:szCs w:val="32"/>
          <w:highlight w:val="none"/>
        </w:rPr>
        <w:t>每年组织装配式建筑项目质量安全专项检查。</w:t>
      </w:r>
      <w:r>
        <w:rPr>
          <w:rFonts w:hint="eastAsia" w:ascii="仿宋_GB2312" w:eastAsia="仿宋_GB2312"/>
          <w:color w:val="0C0C0C" w:themeColor="text1" w:themeTint="F2"/>
          <w:sz w:val="32"/>
          <w:szCs w:val="32"/>
          <w:highlight w:val="none"/>
          <w:lang w:val="en-US" w:eastAsia="zh-CN"/>
        </w:rPr>
        <w:t>开展</w:t>
      </w:r>
      <w:r>
        <w:rPr>
          <w:rFonts w:hint="eastAsia" w:ascii="仿宋_GB2312" w:eastAsia="仿宋_GB2312"/>
          <w:color w:val="0C0C0C" w:themeColor="text1" w:themeTint="F2"/>
          <w:sz w:val="32"/>
          <w:szCs w:val="32"/>
          <w:highlight w:val="none"/>
        </w:rPr>
        <w:t>构件生产企业备案管理试点，定期发布部件产能供需情况，按照部件生产企业信用、质量等情况，区分为“优良、合格、不合格”三个等级评定，鼓励建设单位和施工单位使用评定等级优良单位产品。</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市建委、城区政府、开发区管委会</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（五）</w:t>
      </w:r>
      <w:r>
        <w:rPr>
          <w:rFonts w:hint="eastAsia" w:ascii="仿宋_GB2312" w:eastAsia="仿宋_GB2312"/>
          <w:color w:val="0C0C0C" w:themeColor="text1" w:themeTint="F2"/>
          <w:sz w:val="32"/>
          <w:szCs w:val="32"/>
          <w:highlight w:val="none"/>
        </w:rPr>
        <w:t>组织编制</w:t>
      </w:r>
      <w:r>
        <w:rPr>
          <w:rFonts w:hint="eastAsia" w:ascii="仿宋_GB2312" w:eastAsia="仿宋_GB2312"/>
          <w:color w:val="0C0C0C" w:themeColor="text1" w:themeTint="F2"/>
          <w:sz w:val="32"/>
          <w:szCs w:val="32"/>
          <w:highlight w:val="none"/>
          <w:lang w:val="en-US" w:eastAsia="zh-CN"/>
        </w:rPr>
        <w:t>严寒地区</w:t>
      </w:r>
      <w:r>
        <w:rPr>
          <w:rFonts w:hint="eastAsia" w:ascii="仿宋_GB2312" w:eastAsia="仿宋_GB2312"/>
          <w:color w:val="0C0C0C" w:themeColor="text1" w:themeTint="F2"/>
          <w:sz w:val="32"/>
          <w:szCs w:val="32"/>
          <w:highlight w:val="none"/>
        </w:rPr>
        <w:t>钢结构技术导则，编制装配式住宅建筑通用化、模</w:t>
      </w:r>
      <w:r>
        <w:rPr>
          <w:rFonts w:hint="eastAsia" w:ascii="仿宋_GB2312" w:eastAsia="仿宋_GB2312"/>
          <w:color w:val="0C0C0C" w:themeColor="text1" w:themeTint="F2"/>
          <w:sz w:val="32"/>
          <w:szCs w:val="32"/>
          <w:highlight w:val="none"/>
          <w:lang w:eastAsia="zh-CN"/>
        </w:rPr>
        <w:t>数</w:t>
      </w:r>
      <w:r>
        <w:rPr>
          <w:rFonts w:hint="eastAsia" w:ascii="仿宋_GB2312" w:eastAsia="仿宋_GB2312"/>
          <w:color w:val="0C0C0C" w:themeColor="text1" w:themeTint="F2"/>
          <w:sz w:val="32"/>
          <w:szCs w:val="32"/>
          <w:highlight w:val="none"/>
        </w:rPr>
        <w:t>化、标准化设计规程及装配式建筑部品部件图集，建立通用部品部件库。逐步推广装配式装修，提高整体卫浴、集成厨房、整体门窗等建筑部品的产业配套能力，倡导菜单式全装修。</w:t>
      </w:r>
      <w:r>
        <w:rPr>
          <w:rFonts w:hint="eastAsia" w:ascii="仿宋_GB2312" w:eastAsia="仿宋_GB2312"/>
          <w:color w:val="0C0C0C" w:themeColor="text1" w:themeTint="F2"/>
          <w:sz w:val="32"/>
          <w:szCs w:val="32"/>
          <w:highlight w:val="none"/>
          <w:lang w:val="en-US" w:eastAsia="zh-CN"/>
        </w:rPr>
        <w:t>推动自动化施工机械、建筑机器人等新技术的应用，开展智能建造试点</w:t>
      </w:r>
      <w:r>
        <w:rPr>
          <w:rFonts w:hint="eastAsia" w:ascii="仿宋_GB2312" w:eastAsia="仿宋_GB2312"/>
          <w:color w:val="0C0C0C" w:themeColor="text1" w:themeTint="F2"/>
          <w:sz w:val="32"/>
          <w:szCs w:val="32"/>
          <w:highlight w:val="none"/>
        </w:rPr>
        <w:t>。</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市建委，开发区管委会</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（六）</w:t>
      </w:r>
      <w:r>
        <w:rPr>
          <w:rFonts w:hint="eastAsia" w:ascii="仿宋_GB2312" w:eastAsia="仿宋_GB2312"/>
          <w:color w:val="0C0C0C" w:themeColor="text1" w:themeTint="F2"/>
          <w:sz w:val="32"/>
          <w:szCs w:val="32"/>
          <w:highlight w:val="none"/>
        </w:rPr>
        <w:t>装配式建筑原则上应采用工程总承包模式，可按照技术复杂类工程项目招标。建设单位应根据装配式建筑项目技术实施方案，预制部品部件生产能力、代表工程业绩、一体化集成设计及BIM能力等优选工程总承包企业。鼓励</w:t>
      </w:r>
      <w:r>
        <w:rPr>
          <w:rFonts w:hint="eastAsia" w:ascii="仿宋_GB2312" w:eastAsia="仿宋_GB2312"/>
          <w:color w:val="0C0C0C" w:themeColor="text1" w:themeTint="F2"/>
          <w:sz w:val="32"/>
          <w:szCs w:val="32"/>
          <w:highlight w:val="none"/>
          <w:lang w:val="en-US" w:eastAsia="zh-CN"/>
        </w:rPr>
        <w:t>采用</w:t>
      </w:r>
      <w:r>
        <w:rPr>
          <w:rFonts w:hint="eastAsia" w:ascii="仿宋_GB2312" w:eastAsia="仿宋_GB2312"/>
          <w:color w:val="0C0C0C" w:themeColor="text1" w:themeTint="F2"/>
          <w:sz w:val="32"/>
          <w:szCs w:val="32"/>
          <w:highlight w:val="none"/>
        </w:rPr>
        <w:t>全过程咨询</w:t>
      </w:r>
      <w:r>
        <w:rPr>
          <w:rFonts w:hint="eastAsia" w:ascii="仿宋_GB2312" w:eastAsia="仿宋_GB2312"/>
          <w:color w:val="0C0C0C" w:themeColor="text1" w:themeTint="F2"/>
          <w:sz w:val="32"/>
          <w:szCs w:val="32"/>
          <w:highlight w:val="none"/>
          <w:lang w:val="en-US" w:eastAsia="zh-CN"/>
        </w:rPr>
        <w:t>模式</w:t>
      </w:r>
      <w:r>
        <w:rPr>
          <w:rFonts w:hint="eastAsia" w:ascii="仿宋_GB2312" w:eastAsia="仿宋_GB2312"/>
          <w:color w:val="0C0C0C" w:themeColor="text1" w:themeTint="F2"/>
          <w:sz w:val="32"/>
          <w:szCs w:val="32"/>
          <w:highlight w:val="none"/>
        </w:rPr>
        <w:t>。</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市建委牵头，市发改委、开发区管委会配合</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（七）</w:t>
      </w:r>
      <w:r>
        <w:rPr>
          <w:rFonts w:hint="eastAsia" w:ascii="仿宋_GB2312" w:eastAsia="仿宋_GB2312"/>
          <w:color w:val="0C0C0C" w:themeColor="text1" w:themeTint="F2"/>
          <w:sz w:val="32"/>
          <w:szCs w:val="32"/>
          <w:highlight w:val="none"/>
        </w:rPr>
        <w:t>制定装配式建筑产业奖补资金管理办法，按照等级评定结果，对预制部品部件生产单位进行奖补。</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市财政局、市建委按职能负责</w:t>
      </w:r>
    </w:p>
    <w:p>
      <w:pPr>
        <w:spacing w:line="560" w:lineRule="exact"/>
        <w:ind w:firstLine="640" w:firstLineChars="200"/>
        <w:rPr>
          <w:rFonts w:ascii="黑体" w:hAnsi="黑体" w:eastAsia="黑体"/>
          <w:color w:val="0C0C0C" w:themeColor="text1" w:themeTint="F2"/>
          <w:sz w:val="32"/>
          <w:szCs w:val="32"/>
          <w:highlight w:val="none"/>
        </w:rPr>
      </w:pPr>
      <w:r>
        <w:rPr>
          <w:rFonts w:hint="eastAsia" w:ascii="黑体" w:hAnsi="黑体" w:eastAsia="黑体"/>
          <w:color w:val="0C0C0C" w:themeColor="text1" w:themeTint="F2"/>
          <w:sz w:val="32"/>
          <w:szCs w:val="32"/>
          <w:highlight w:val="none"/>
        </w:rPr>
        <w:t>四、相关保障</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（一）培育队伍。</w:t>
      </w:r>
      <w:r>
        <w:rPr>
          <w:rFonts w:hint="eastAsia" w:ascii="仿宋_GB2312" w:eastAsia="仿宋_GB2312"/>
          <w:b/>
          <w:bCs/>
          <w:color w:val="0C0C0C" w:themeColor="text1" w:themeTint="F2"/>
          <w:sz w:val="32"/>
          <w:szCs w:val="32"/>
          <w:highlight w:val="none"/>
        </w:rPr>
        <w:t>一是</w:t>
      </w:r>
      <w:r>
        <w:rPr>
          <w:rFonts w:hint="eastAsia" w:ascii="仿宋_GB2312" w:eastAsia="仿宋_GB2312"/>
          <w:color w:val="0C0C0C" w:themeColor="text1" w:themeTint="F2"/>
          <w:sz w:val="32"/>
          <w:szCs w:val="32"/>
          <w:highlight w:val="none"/>
        </w:rPr>
        <w:t>开展管理人员装配式建筑政策和专业知识培训，将装配式建筑相关内容纳入专业技术人员继续教育内容，提升业务能力。</w:t>
      </w:r>
      <w:r>
        <w:rPr>
          <w:rFonts w:hint="eastAsia" w:ascii="仿宋_GB2312" w:eastAsia="仿宋_GB2312"/>
          <w:b/>
          <w:bCs/>
          <w:color w:val="0C0C0C" w:themeColor="text1" w:themeTint="F2"/>
          <w:sz w:val="32"/>
          <w:szCs w:val="32"/>
          <w:highlight w:val="none"/>
          <w:lang w:val="en-US" w:eastAsia="zh-CN"/>
        </w:rPr>
        <w:t>二</w:t>
      </w:r>
      <w:r>
        <w:rPr>
          <w:rFonts w:hint="eastAsia" w:ascii="仿宋_GB2312" w:eastAsia="仿宋_GB2312"/>
          <w:b/>
          <w:bCs/>
          <w:color w:val="0C0C0C" w:themeColor="text1" w:themeTint="F2"/>
          <w:sz w:val="32"/>
          <w:szCs w:val="32"/>
          <w:highlight w:val="none"/>
        </w:rPr>
        <w:t>是</w:t>
      </w:r>
      <w:r>
        <w:rPr>
          <w:rFonts w:hint="eastAsia" w:ascii="仿宋_GB2312" w:eastAsia="仿宋_GB2312"/>
          <w:color w:val="0C0C0C" w:themeColor="text1" w:themeTint="F2"/>
          <w:sz w:val="32"/>
          <w:szCs w:val="32"/>
          <w:highlight w:val="none"/>
        </w:rPr>
        <w:t>开展政校企合作，依托专业院校、骨干企业、职业培训机构和公共实训基地，建立装配式建筑人才教育培训基地。</w:t>
      </w:r>
      <w:r>
        <w:rPr>
          <w:rFonts w:hint="eastAsia" w:ascii="仿宋_GB2312" w:eastAsia="仿宋_GB2312"/>
          <w:b/>
          <w:bCs/>
          <w:color w:val="0C0C0C" w:themeColor="text1" w:themeTint="F2"/>
          <w:sz w:val="32"/>
          <w:szCs w:val="32"/>
          <w:highlight w:val="none"/>
          <w:lang w:val="en-US" w:eastAsia="zh-CN"/>
        </w:rPr>
        <w:t>三</w:t>
      </w:r>
      <w:r>
        <w:rPr>
          <w:rFonts w:hint="eastAsia" w:ascii="仿宋_GB2312" w:eastAsia="仿宋_GB2312"/>
          <w:b/>
          <w:bCs/>
          <w:color w:val="0C0C0C" w:themeColor="text1" w:themeTint="F2"/>
          <w:sz w:val="32"/>
          <w:szCs w:val="32"/>
          <w:highlight w:val="none"/>
        </w:rPr>
        <w:t>是</w:t>
      </w:r>
      <w:r>
        <w:rPr>
          <w:rFonts w:hint="eastAsia" w:ascii="仿宋_GB2312" w:eastAsia="仿宋_GB2312"/>
          <w:color w:val="0C0C0C" w:themeColor="text1" w:themeTint="F2"/>
          <w:sz w:val="32"/>
          <w:szCs w:val="32"/>
          <w:highlight w:val="none"/>
        </w:rPr>
        <w:t>更新、扩充市装配式建筑专家委员会，发挥智库作用。</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市建委、市人社局按职能负责、城区政府、开发区管委会配合</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（二）强化监管。</w:t>
      </w:r>
      <w:r>
        <w:rPr>
          <w:rFonts w:hint="eastAsia" w:ascii="仿宋_GB2312" w:eastAsia="仿宋_GB2312"/>
          <w:color w:val="0C0C0C" w:themeColor="text1" w:themeTint="F2"/>
          <w:sz w:val="32"/>
          <w:szCs w:val="32"/>
          <w:highlight w:val="none"/>
        </w:rPr>
        <w:t>加强部门联动，建立交流共享、联合执法、线索移送等工作机制，形成监管合力。市装配式建筑领导小组办公室</w:t>
      </w:r>
      <w:r>
        <w:rPr>
          <w:rFonts w:hint="eastAsia" w:ascii="仿宋_GB2312" w:eastAsia="仿宋_GB2312"/>
          <w:color w:val="0C0C0C" w:themeColor="text1" w:themeTint="F2"/>
          <w:sz w:val="32"/>
          <w:szCs w:val="32"/>
          <w:highlight w:val="none"/>
          <w:lang w:val="en-US" w:eastAsia="zh-CN"/>
        </w:rPr>
        <w:t>对</w:t>
      </w:r>
      <w:r>
        <w:rPr>
          <w:rFonts w:hint="eastAsia" w:ascii="仿宋_GB2312" w:eastAsia="仿宋_GB2312"/>
          <w:color w:val="0C0C0C" w:themeColor="text1" w:themeTint="F2"/>
          <w:sz w:val="32"/>
          <w:szCs w:val="32"/>
          <w:highlight w:val="none"/>
        </w:rPr>
        <w:t>各城区、开发区、市直各部门</w:t>
      </w:r>
      <w:r>
        <w:rPr>
          <w:rFonts w:hint="eastAsia" w:ascii="仿宋_GB2312" w:eastAsia="仿宋_GB2312"/>
          <w:color w:val="0C0C0C" w:themeColor="text1" w:themeTint="F2"/>
          <w:sz w:val="32"/>
          <w:szCs w:val="32"/>
          <w:highlight w:val="none"/>
          <w:lang w:val="en-US" w:eastAsia="zh-CN"/>
        </w:rPr>
        <w:t>在</w:t>
      </w:r>
      <w:r>
        <w:rPr>
          <w:rFonts w:hint="eastAsia" w:ascii="仿宋_GB2312" w:eastAsia="仿宋_GB2312"/>
          <w:color w:val="0C0C0C" w:themeColor="text1" w:themeTint="F2"/>
          <w:sz w:val="32"/>
          <w:szCs w:val="32"/>
          <w:highlight w:val="none"/>
        </w:rPr>
        <w:t>立项、土地、规划、设计、施工等环节</w:t>
      </w:r>
      <w:r>
        <w:rPr>
          <w:rFonts w:hint="eastAsia" w:ascii="仿宋_GB2312" w:eastAsia="仿宋_GB2312"/>
          <w:color w:val="0C0C0C" w:themeColor="text1" w:themeTint="F2"/>
          <w:sz w:val="32"/>
          <w:szCs w:val="32"/>
          <w:highlight w:val="none"/>
          <w:lang w:val="en-US" w:eastAsia="zh-CN"/>
        </w:rPr>
        <w:t>政策</w:t>
      </w:r>
      <w:r>
        <w:rPr>
          <w:rFonts w:hint="eastAsia" w:ascii="仿宋_GB2312" w:eastAsia="仿宋_GB2312"/>
          <w:color w:val="0C0C0C" w:themeColor="text1" w:themeTint="F2"/>
          <w:sz w:val="32"/>
          <w:szCs w:val="32"/>
          <w:highlight w:val="none"/>
        </w:rPr>
        <w:t>执行情况</w:t>
      </w:r>
      <w:r>
        <w:rPr>
          <w:rFonts w:hint="eastAsia" w:ascii="仿宋_GB2312" w:eastAsia="仿宋_GB2312"/>
          <w:color w:val="0C0C0C" w:themeColor="text1" w:themeTint="F2"/>
          <w:sz w:val="32"/>
          <w:szCs w:val="32"/>
          <w:highlight w:val="none"/>
          <w:lang w:val="en-US" w:eastAsia="zh-CN"/>
        </w:rPr>
        <w:t>进行督导</w:t>
      </w:r>
      <w:r>
        <w:rPr>
          <w:rFonts w:hint="eastAsia" w:ascii="仿宋_GB2312" w:eastAsia="仿宋_GB2312"/>
          <w:color w:val="0C0C0C" w:themeColor="text1" w:themeTint="F2"/>
          <w:sz w:val="32"/>
          <w:szCs w:val="32"/>
          <w:highlight w:val="none"/>
        </w:rPr>
        <w:t>。</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市装配式建筑领导小组办公室</w:t>
      </w:r>
      <w:r>
        <w:rPr>
          <w:rFonts w:hint="eastAsia" w:ascii="仿宋_GB2312" w:eastAsia="仿宋_GB2312"/>
          <w:color w:val="0C0C0C" w:themeColor="text1" w:themeTint="F2"/>
          <w:sz w:val="32"/>
          <w:szCs w:val="32"/>
          <w:highlight w:val="none"/>
          <w:lang w:eastAsia="zh-CN"/>
        </w:rPr>
        <w:t>、</w:t>
      </w:r>
      <w:r>
        <w:rPr>
          <w:rFonts w:hint="eastAsia" w:ascii="仿宋_GB2312" w:eastAsia="仿宋_GB2312"/>
          <w:color w:val="0C0C0C" w:themeColor="text1" w:themeTint="F2"/>
          <w:sz w:val="32"/>
          <w:szCs w:val="32"/>
          <w:highlight w:val="none"/>
        </w:rPr>
        <w:t>市发改、市人社局、市规自、市建委、市市场监督局、市政数局按职能负责，各城区政府、开发区管委会</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楷体_GB2312" w:eastAsia="楷体_GB2312"/>
          <w:bCs/>
          <w:color w:val="0C0C0C" w:themeColor="text1" w:themeTint="F2"/>
          <w:sz w:val="32"/>
          <w:szCs w:val="32"/>
          <w:highlight w:val="none"/>
        </w:rPr>
        <w:t>（三）示范引领。</w:t>
      </w:r>
      <w:r>
        <w:rPr>
          <w:rFonts w:hint="eastAsia" w:ascii="仿宋_GB2312" w:eastAsia="仿宋_GB2312"/>
          <w:color w:val="0C0C0C" w:themeColor="text1" w:themeTint="F2"/>
          <w:sz w:val="32"/>
          <w:szCs w:val="32"/>
          <w:highlight w:val="none"/>
        </w:rPr>
        <w:t>大力扶持优秀工程总承包企业和部品部件生产企业申报国家、省装配式建筑产业基地。采取现场观摩、经验座谈、新媒体传播和装配式建筑博览会等多种途径宣传推介装配式建筑。</w:t>
      </w:r>
    </w:p>
    <w:p>
      <w:pPr>
        <w:spacing w:line="560" w:lineRule="exact"/>
        <w:ind w:firstLine="643" w:firstLineChars="200"/>
        <w:rPr>
          <w:rFonts w:ascii="仿宋_GB2312" w:eastAsia="仿宋_GB2312"/>
          <w:color w:val="0C0C0C" w:themeColor="text1" w:themeTint="F2"/>
          <w:sz w:val="32"/>
          <w:szCs w:val="32"/>
          <w:highlight w:val="none"/>
        </w:rPr>
      </w:pPr>
      <w:r>
        <w:rPr>
          <w:rFonts w:hint="eastAsia" w:ascii="仿宋_GB2312" w:eastAsia="仿宋_GB2312"/>
          <w:b/>
          <w:bCs/>
          <w:color w:val="0C0C0C" w:themeColor="text1" w:themeTint="F2"/>
          <w:sz w:val="32"/>
          <w:szCs w:val="32"/>
          <w:highlight w:val="none"/>
        </w:rPr>
        <w:t>责任单位：</w:t>
      </w:r>
      <w:r>
        <w:rPr>
          <w:rFonts w:hint="eastAsia" w:ascii="仿宋_GB2312" w:eastAsia="仿宋_GB2312"/>
          <w:color w:val="0C0C0C" w:themeColor="text1" w:themeTint="F2"/>
          <w:sz w:val="32"/>
          <w:szCs w:val="32"/>
          <w:highlight w:val="none"/>
        </w:rPr>
        <w:t>市建委牵头、城区政府、开发区管委会配合</w:t>
      </w:r>
    </w:p>
    <w:p>
      <w:pPr>
        <w:spacing w:line="560" w:lineRule="exact"/>
        <w:ind w:firstLine="640" w:firstLineChars="200"/>
        <w:rPr>
          <w:rFonts w:ascii="仿宋_GB2312" w:eastAsia="仿宋_GB2312"/>
          <w:color w:val="0C0C0C" w:themeColor="text1" w:themeTint="F2"/>
          <w:sz w:val="32"/>
          <w:szCs w:val="32"/>
          <w:highlight w:val="none"/>
        </w:rPr>
      </w:pPr>
      <w:r>
        <w:rPr>
          <w:rFonts w:hint="eastAsia" w:ascii="仿宋_GB2312" w:eastAsia="仿宋_GB2312"/>
          <w:color w:val="0C0C0C" w:themeColor="text1" w:themeTint="F2"/>
          <w:sz w:val="32"/>
          <w:szCs w:val="32"/>
          <w:highlight w:val="none"/>
          <w:lang w:eastAsia="zh-CN"/>
        </w:rPr>
        <w:t>各</w:t>
      </w:r>
      <w:r>
        <w:rPr>
          <w:rFonts w:hint="eastAsia" w:ascii="仿宋_GB2312" w:eastAsia="仿宋_GB2312"/>
          <w:color w:val="0C0C0C" w:themeColor="text1" w:themeTint="F2"/>
          <w:sz w:val="32"/>
          <w:szCs w:val="32"/>
          <w:highlight w:val="none"/>
        </w:rPr>
        <w:t>县（市）、九台区、双阳区可参照本办法执行。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C0C0C" w:themeColor="text1" w:themeTint="F2"/>
          <w:sz w:val="32"/>
          <w:szCs w:val="32"/>
          <w:lang w:eastAsia="zh-CN"/>
        </w:rPr>
      </w:pPr>
      <w:r>
        <w:rPr>
          <w:rFonts w:hint="eastAsia" w:ascii="仿宋_GB2312" w:eastAsia="仿宋_GB2312"/>
          <w:color w:val="0C0C0C" w:themeColor="text1" w:themeTint="F2"/>
          <w:sz w:val="32"/>
          <w:szCs w:val="32"/>
          <w:lang w:eastAsia="zh-CN"/>
        </w:rPr>
        <w:t>附件：长春市装配式建筑评价导则（试行）</w:t>
      </w:r>
    </w:p>
    <w:p>
      <w:pPr>
        <w:spacing w:line="560" w:lineRule="exact"/>
        <w:ind w:firstLine="4160" w:firstLineChars="1300"/>
        <w:rPr>
          <w:rFonts w:ascii="仿宋_GB2312" w:eastAsia="仿宋_GB2312"/>
          <w:color w:val="0C0C0C" w:themeColor="text1" w:themeTint="F2"/>
          <w:sz w:val="32"/>
          <w:szCs w:val="32"/>
        </w:rPr>
      </w:pPr>
    </w:p>
    <w:p>
      <w:pPr>
        <w:spacing w:line="560" w:lineRule="exact"/>
        <w:ind w:firstLine="4160" w:firstLineChars="1300"/>
        <w:jc w:val="right"/>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长春市人民政府办公厅</w:t>
      </w:r>
    </w:p>
    <w:p>
      <w:pPr>
        <w:spacing w:line="560" w:lineRule="exact"/>
        <w:ind w:firstLine="4160" w:firstLineChars="1300"/>
        <w:jc w:val="right"/>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2020年【】月【】日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89274"/>
    </w:sdtPr>
    <w:sdtContent>
      <w:p>
        <w:pPr>
          <w:pStyle w:val="3"/>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19AD"/>
    <w:rsid w:val="000179D7"/>
    <w:rsid w:val="00037226"/>
    <w:rsid w:val="00055D9A"/>
    <w:rsid w:val="00056073"/>
    <w:rsid w:val="00097230"/>
    <w:rsid w:val="000A0DA9"/>
    <w:rsid w:val="000A5415"/>
    <w:rsid w:val="000C6159"/>
    <w:rsid w:val="000C7D83"/>
    <w:rsid w:val="001B00D1"/>
    <w:rsid w:val="001C0501"/>
    <w:rsid w:val="001C4ADC"/>
    <w:rsid w:val="00204680"/>
    <w:rsid w:val="00212F22"/>
    <w:rsid w:val="00222F5C"/>
    <w:rsid w:val="002426F8"/>
    <w:rsid w:val="00243BD2"/>
    <w:rsid w:val="00246428"/>
    <w:rsid w:val="00253129"/>
    <w:rsid w:val="002539F9"/>
    <w:rsid w:val="00256F84"/>
    <w:rsid w:val="00267ADB"/>
    <w:rsid w:val="002820B7"/>
    <w:rsid w:val="002A75AC"/>
    <w:rsid w:val="002D5BC4"/>
    <w:rsid w:val="002E104A"/>
    <w:rsid w:val="002E56C3"/>
    <w:rsid w:val="00327F02"/>
    <w:rsid w:val="003474D6"/>
    <w:rsid w:val="003B06FF"/>
    <w:rsid w:val="003C2C9A"/>
    <w:rsid w:val="003E23D2"/>
    <w:rsid w:val="003E2F40"/>
    <w:rsid w:val="00407863"/>
    <w:rsid w:val="00450A2F"/>
    <w:rsid w:val="00471E46"/>
    <w:rsid w:val="00482173"/>
    <w:rsid w:val="004828EE"/>
    <w:rsid w:val="0048296E"/>
    <w:rsid w:val="00485411"/>
    <w:rsid w:val="00497879"/>
    <w:rsid w:val="004C1306"/>
    <w:rsid w:val="004E15D8"/>
    <w:rsid w:val="004F4BE8"/>
    <w:rsid w:val="00505BEC"/>
    <w:rsid w:val="00545E9F"/>
    <w:rsid w:val="0057567C"/>
    <w:rsid w:val="00584622"/>
    <w:rsid w:val="005A650A"/>
    <w:rsid w:val="005C29EB"/>
    <w:rsid w:val="00607396"/>
    <w:rsid w:val="00624CC4"/>
    <w:rsid w:val="00634148"/>
    <w:rsid w:val="0064639C"/>
    <w:rsid w:val="00651385"/>
    <w:rsid w:val="006677F7"/>
    <w:rsid w:val="006807D5"/>
    <w:rsid w:val="00684CEA"/>
    <w:rsid w:val="006865D8"/>
    <w:rsid w:val="006874AD"/>
    <w:rsid w:val="00696DE4"/>
    <w:rsid w:val="00697CAE"/>
    <w:rsid w:val="006A5C09"/>
    <w:rsid w:val="006C0428"/>
    <w:rsid w:val="006C18AB"/>
    <w:rsid w:val="006D1BFD"/>
    <w:rsid w:val="006F616C"/>
    <w:rsid w:val="00714790"/>
    <w:rsid w:val="00735F60"/>
    <w:rsid w:val="00751CFC"/>
    <w:rsid w:val="007A5389"/>
    <w:rsid w:val="007B0A92"/>
    <w:rsid w:val="007C7E64"/>
    <w:rsid w:val="007D337C"/>
    <w:rsid w:val="008065AC"/>
    <w:rsid w:val="0083564A"/>
    <w:rsid w:val="0086780B"/>
    <w:rsid w:val="00877BEF"/>
    <w:rsid w:val="008855CD"/>
    <w:rsid w:val="008E797F"/>
    <w:rsid w:val="009120C1"/>
    <w:rsid w:val="00920C5D"/>
    <w:rsid w:val="009546CF"/>
    <w:rsid w:val="009641FD"/>
    <w:rsid w:val="00965F31"/>
    <w:rsid w:val="00A23608"/>
    <w:rsid w:val="00A34B7D"/>
    <w:rsid w:val="00A412A2"/>
    <w:rsid w:val="00A52414"/>
    <w:rsid w:val="00A66CF4"/>
    <w:rsid w:val="00A72465"/>
    <w:rsid w:val="00A92543"/>
    <w:rsid w:val="00AB44B4"/>
    <w:rsid w:val="00AB7DEE"/>
    <w:rsid w:val="00AE37D9"/>
    <w:rsid w:val="00B00824"/>
    <w:rsid w:val="00B2486B"/>
    <w:rsid w:val="00B4461D"/>
    <w:rsid w:val="00B5764B"/>
    <w:rsid w:val="00BC0449"/>
    <w:rsid w:val="00BC0BEE"/>
    <w:rsid w:val="00BF0F42"/>
    <w:rsid w:val="00BF5F79"/>
    <w:rsid w:val="00BF6323"/>
    <w:rsid w:val="00C11DA3"/>
    <w:rsid w:val="00C31A76"/>
    <w:rsid w:val="00C34B53"/>
    <w:rsid w:val="00C37418"/>
    <w:rsid w:val="00C40794"/>
    <w:rsid w:val="00C47053"/>
    <w:rsid w:val="00C55C2C"/>
    <w:rsid w:val="00C55E7F"/>
    <w:rsid w:val="00CB63BA"/>
    <w:rsid w:val="00CC0EC3"/>
    <w:rsid w:val="00CC71C3"/>
    <w:rsid w:val="00CD6B34"/>
    <w:rsid w:val="00D02038"/>
    <w:rsid w:val="00D04C64"/>
    <w:rsid w:val="00D36A7A"/>
    <w:rsid w:val="00D64989"/>
    <w:rsid w:val="00D84770"/>
    <w:rsid w:val="00D97FAE"/>
    <w:rsid w:val="00DB1AE4"/>
    <w:rsid w:val="00DE44A2"/>
    <w:rsid w:val="00E20EFE"/>
    <w:rsid w:val="00E24FED"/>
    <w:rsid w:val="00E40D2B"/>
    <w:rsid w:val="00E4376A"/>
    <w:rsid w:val="00E643B6"/>
    <w:rsid w:val="00E70F16"/>
    <w:rsid w:val="00E97EE2"/>
    <w:rsid w:val="00EC13B1"/>
    <w:rsid w:val="00EF21AF"/>
    <w:rsid w:val="00EF311E"/>
    <w:rsid w:val="00F12C0C"/>
    <w:rsid w:val="00F319AD"/>
    <w:rsid w:val="00F63E76"/>
    <w:rsid w:val="00F6563D"/>
    <w:rsid w:val="00F74240"/>
    <w:rsid w:val="00FA4575"/>
    <w:rsid w:val="00FA7ECC"/>
    <w:rsid w:val="00FC32F1"/>
    <w:rsid w:val="00FD2138"/>
    <w:rsid w:val="00FD30D3"/>
    <w:rsid w:val="00FD6A98"/>
    <w:rsid w:val="00FE4F60"/>
    <w:rsid w:val="00FF0331"/>
    <w:rsid w:val="016975D6"/>
    <w:rsid w:val="025B52B2"/>
    <w:rsid w:val="02C669C2"/>
    <w:rsid w:val="03526D52"/>
    <w:rsid w:val="03E70594"/>
    <w:rsid w:val="054C727F"/>
    <w:rsid w:val="05683DBA"/>
    <w:rsid w:val="065A0001"/>
    <w:rsid w:val="06E549F2"/>
    <w:rsid w:val="08F67833"/>
    <w:rsid w:val="090116D5"/>
    <w:rsid w:val="091654C6"/>
    <w:rsid w:val="09552E01"/>
    <w:rsid w:val="097B53BB"/>
    <w:rsid w:val="0BD96D32"/>
    <w:rsid w:val="0C153B4C"/>
    <w:rsid w:val="0C530D1B"/>
    <w:rsid w:val="0C5F689A"/>
    <w:rsid w:val="0C605171"/>
    <w:rsid w:val="0CD46C1E"/>
    <w:rsid w:val="0CF37E8F"/>
    <w:rsid w:val="0D3B2C6C"/>
    <w:rsid w:val="0D6708AC"/>
    <w:rsid w:val="0DA15DBD"/>
    <w:rsid w:val="0DE55D84"/>
    <w:rsid w:val="0EF56D71"/>
    <w:rsid w:val="0FAD7159"/>
    <w:rsid w:val="108F6723"/>
    <w:rsid w:val="11430EC2"/>
    <w:rsid w:val="11E5036C"/>
    <w:rsid w:val="122D7025"/>
    <w:rsid w:val="13F524BE"/>
    <w:rsid w:val="14017783"/>
    <w:rsid w:val="14DE4642"/>
    <w:rsid w:val="166F2AC6"/>
    <w:rsid w:val="16C64C91"/>
    <w:rsid w:val="17BD249F"/>
    <w:rsid w:val="181901E3"/>
    <w:rsid w:val="19485971"/>
    <w:rsid w:val="194D3322"/>
    <w:rsid w:val="19DC564B"/>
    <w:rsid w:val="1A3B3E93"/>
    <w:rsid w:val="1B9D57A1"/>
    <w:rsid w:val="1BD919CD"/>
    <w:rsid w:val="1C647F06"/>
    <w:rsid w:val="1CB2719F"/>
    <w:rsid w:val="1CD265A0"/>
    <w:rsid w:val="1CE101C8"/>
    <w:rsid w:val="1E9B75FB"/>
    <w:rsid w:val="1EEF12E2"/>
    <w:rsid w:val="1EF45D1C"/>
    <w:rsid w:val="1F02429F"/>
    <w:rsid w:val="1FCC370C"/>
    <w:rsid w:val="1FD43073"/>
    <w:rsid w:val="208E5A55"/>
    <w:rsid w:val="2133336C"/>
    <w:rsid w:val="216206DB"/>
    <w:rsid w:val="219D16D0"/>
    <w:rsid w:val="223313AB"/>
    <w:rsid w:val="22E025C5"/>
    <w:rsid w:val="23061B41"/>
    <w:rsid w:val="23307E93"/>
    <w:rsid w:val="260F257E"/>
    <w:rsid w:val="26F265C5"/>
    <w:rsid w:val="2797150C"/>
    <w:rsid w:val="2843767F"/>
    <w:rsid w:val="286061DA"/>
    <w:rsid w:val="287C1B87"/>
    <w:rsid w:val="28923EF4"/>
    <w:rsid w:val="295A5356"/>
    <w:rsid w:val="296601EB"/>
    <w:rsid w:val="2B686F8C"/>
    <w:rsid w:val="2C4D7BD8"/>
    <w:rsid w:val="2CB367D8"/>
    <w:rsid w:val="2D203019"/>
    <w:rsid w:val="2E1D23D4"/>
    <w:rsid w:val="2F52381D"/>
    <w:rsid w:val="30B57D1C"/>
    <w:rsid w:val="30CB2585"/>
    <w:rsid w:val="31B26873"/>
    <w:rsid w:val="32A24791"/>
    <w:rsid w:val="332C718E"/>
    <w:rsid w:val="34C65B31"/>
    <w:rsid w:val="35856011"/>
    <w:rsid w:val="35B32415"/>
    <w:rsid w:val="35BE6478"/>
    <w:rsid w:val="35E47333"/>
    <w:rsid w:val="36BC5D59"/>
    <w:rsid w:val="37587F60"/>
    <w:rsid w:val="375C487A"/>
    <w:rsid w:val="37A1353A"/>
    <w:rsid w:val="37F0721E"/>
    <w:rsid w:val="38AE0689"/>
    <w:rsid w:val="38BA7231"/>
    <w:rsid w:val="3A356E53"/>
    <w:rsid w:val="3A505778"/>
    <w:rsid w:val="3B57295C"/>
    <w:rsid w:val="3BC00CA5"/>
    <w:rsid w:val="3C001E80"/>
    <w:rsid w:val="3C6C1E5D"/>
    <w:rsid w:val="3D892861"/>
    <w:rsid w:val="3DBE1DEA"/>
    <w:rsid w:val="3F7C7098"/>
    <w:rsid w:val="40583E27"/>
    <w:rsid w:val="40E2358A"/>
    <w:rsid w:val="412D4FE8"/>
    <w:rsid w:val="413F2EA6"/>
    <w:rsid w:val="415A7515"/>
    <w:rsid w:val="41C65CA3"/>
    <w:rsid w:val="423D426B"/>
    <w:rsid w:val="42935159"/>
    <w:rsid w:val="429D7CA4"/>
    <w:rsid w:val="42A363A7"/>
    <w:rsid w:val="455377FD"/>
    <w:rsid w:val="45A23F84"/>
    <w:rsid w:val="4626072C"/>
    <w:rsid w:val="47A4123D"/>
    <w:rsid w:val="47AE04EB"/>
    <w:rsid w:val="482A3723"/>
    <w:rsid w:val="48434430"/>
    <w:rsid w:val="48DD762B"/>
    <w:rsid w:val="4B945EEF"/>
    <w:rsid w:val="4BFB3840"/>
    <w:rsid w:val="4D8560D7"/>
    <w:rsid w:val="4E080BFF"/>
    <w:rsid w:val="4E46316E"/>
    <w:rsid w:val="4EA253A0"/>
    <w:rsid w:val="4F1A17A1"/>
    <w:rsid w:val="4F3A3A3A"/>
    <w:rsid w:val="4FC43DA6"/>
    <w:rsid w:val="502A4340"/>
    <w:rsid w:val="52F14B7F"/>
    <w:rsid w:val="532223E4"/>
    <w:rsid w:val="539C1E23"/>
    <w:rsid w:val="54B31575"/>
    <w:rsid w:val="5541046C"/>
    <w:rsid w:val="554C3A92"/>
    <w:rsid w:val="55E84AC1"/>
    <w:rsid w:val="55F2131C"/>
    <w:rsid w:val="55F909FC"/>
    <w:rsid w:val="570B5091"/>
    <w:rsid w:val="58CC64A4"/>
    <w:rsid w:val="59F375E4"/>
    <w:rsid w:val="59FB75FA"/>
    <w:rsid w:val="5A185CF4"/>
    <w:rsid w:val="5A263F0B"/>
    <w:rsid w:val="5A300498"/>
    <w:rsid w:val="5A34253E"/>
    <w:rsid w:val="5B2A1B18"/>
    <w:rsid w:val="5B471B20"/>
    <w:rsid w:val="5B8A5CB9"/>
    <w:rsid w:val="5C583200"/>
    <w:rsid w:val="5C6523DC"/>
    <w:rsid w:val="5CC1353B"/>
    <w:rsid w:val="5D477AAC"/>
    <w:rsid w:val="5E9D6160"/>
    <w:rsid w:val="5EB829A4"/>
    <w:rsid w:val="5F306532"/>
    <w:rsid w:val="5F4555FF"/>
    <w:rsid w:val="5F931E52"/>
    <w:rsid w:val="5FA54F13"/>
    <w:rsid w:val="601A4E34"/>
    <w:rsid w:val="60BD460C"/>
    <w:rsid w:val="61AE0F06"/>
    <w:rsid w:val="61D43860"/>
    <w:rsid w:val="62C04E35"/>
    <w:rsid w:val="63D250C6"/>
    <w:rsid w:val="65506D27"/>
    <w:rsid w:val="6592299B"/>
    <w:rsid w:val="65E73F02"/>
    <w:rsid w:val="66125A16"/>
    <w:rsid w:val="66B100EC"/>
    <w:rsid w:val="66D96CD9"/>
    <w:rsid w:val="68B2398D"/>
    <w:rsid w:val="69A825DE"/>
    <w:rsid w:val="69B73A33"/>
    <w:rsid w:val="6A0955D1"/>
    <w:rsid w:val="6ADC5858"/>
    <w:rsid w:val="6B28426D"/>
    <w:rsid w:val="6C844F52"/>
    <w:rsid w:val="6C985E68"/>
    <w:rsid w:val="6CD8070D"/>
    <w:rsid w:val="6E125D61"/>
    <w:rsid w:val="6EE25212"/>
    <w:rsid w:val="6F115B20"/>
    <w:rsid w:val="6FB46E14"/>
    <w:rsid w:val="701952E0"/>
    <w:rsid w:val="703F1F65"/>
    <w:rsid w:val="713F646A"/>
    <w:rsid w:val="715A259A"/>
    <w:rsid w:val="719A0429"/>
    <w:rsid w:val="71AB735F"/>
    <w:rsid w:val="750B47FB"/>
    <w:rsid w:val="758246E2"/>
    <w:rsid w:val="7653456E"/>
    <w:rsid w:val="76730B66"/>
    <w:rsid w:val="769A44D5"/>
    <w:rsid w:val="785806E3"/>
    <w:rsid w:val="79797482"/>
    <w:rsid w:val="7ACF7966"/>
    <w:rsid w:val="7B3B1E2B"/>
    <w:rsid w:val="7D30774D"/>
    <w:rsid w:val="7F8C65FE"/>
    <w:rsid w:val="7F9D1974"/>
    <w:rsid w:val="7FA67660"/>
    <w:rsid w:val="7FA777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432</Words>
  <Characters>2468</Characters>
  <Lines>20</Lines>
  <Paragraphs>5</Paragraphs>
  <TotalTime>0</TotalTime>
  <ScaleCrop>false</ScaleCrop>
  <LinksUpToDate>false</LinksUpToDate>
  <CharactersWithSpaces>2895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2020-09-09T09:11:00Z</dcterms:created>
  <dc:creator>Administrator</dc:creator>
  <cp:lastModifiedBy>三层肉怪兽</cp:lastModifiedBy>
  <cp:lastPrinted>2020-12-11T00:36:00Z</cp:lastPrinted>
  <dcterms:modified xsi:type="dcterms:W3CDTF">2021-01-25T01:43:22Z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