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val="0"/>
          <w:bCs w:val="0"/>
          <w:color w:val="auto"/>
          <w:sz w:val="32"/>
        </w:rPr>
      </w:pPr>
      <w:bookmarkStart w:id="0" w:name="_Toc380134357"/>
      <w:bookmarkStart w:id="1" w:name="_Toc408221648"/>
      <w:r>
        <w:rPr>
          <w:rFonts w:hint="eastAsia"/>
          <w:b w:val="0"/>
          <w:bCs w:val="0"/>
          <w:color w:val="auto"/>
          <w:sz w:val="32"/>
        </w:rPr>
        <w:t>附件：</w:t>
      </w:r>
    </w:p>
    <w:p>
      <w:pPr>
        <w:jc w:val="left"/>
        <w:rPr>
          <w:b w:val="0"/>
          <w:bCs w:val="0"/>
          <w:color w:val="auto"/>
          <w:sz w:val="32"/>
        </w:rPr>
      </w:pPr>
    </w:p>
    <w:p>
      <w:pPr>
        <w:jc w:val="left"/>
        <w:rPr>
          <w:b w:val="0"/>
          <w:bCs w:val="0"/>
          <w:color w:val="auto"/>
          <w:sz w:val="32"/>
        </w:rPr>
      </w:pPr>
    </w:p>
    <w:p>
      <w:pPr>
        <w:spacing w:line="480" w:lineRule="auto"/>
        <w:jc w:val="center"/>
        <w:rPr>
          <w:rFonts w:ascii="黑体" w:hAnsi="黑体" w:eastAsia="黑体"/>
          <w:b w:val="0"/>
          <w:bCs w:val="0"/>
          <w:color w:val="auto"/>
          <w:sz w:val="48"/>
          <w:szCs w:val="48"/>
        </w:rPr>
      </w:pPr>
      <w:r>
        <w:rPr>
          <w:rFonts w:hint="eastAsia" w:ascii="黑体" w:hAnsi="黑体" w:eastAsia="黑体"/>
          <w:b w:val="0"/>
          <w:bCs w:val="0"/>
          <w:color w:val="auto"/>
          <w:sz w:val="48"/>
          <w:szCs w:val="48"/>
        </w:rPr>
        <w:t>长春市装配式建筑评价导则</w:t>
      </w:r>
    </w:p>
    <w:p>
      <w:pPr>
        <w:jc w:val="center"/>
        <w:rPr>
          <w:b w:val="0"/>
          <w:bCs w:val="0"/>
          <w:color w:val="auto"/>
          <w:sz w:val="32"/>
        </w:rPr>
      </w:pPr>
      <w:r>
        <w:rPr>
          <w:rFonts w:hint="eastAsia"/>
          <w:b w:val="0"/>
          <w:bCs w:val="0"/>
          <w:color w:val="auto"/>
          <w:sz w:val="32"/>
        </w:rPr>
        <w:t>（试行）</w:t>
      </w:r>
    </w:p>
    <w:p>
      <w:pPr>
        <w:jc w:val="center"/>
        <w:rPr>
          <w:b w:val="0"/>
          <w:bCs w:val="0"/>
          <w:color w:val="auto"/>
          <w:sz w:val="32"/>
        </w:rPr>
      </w:pPr>
      <w:r>
        <w:rPr>
          <w:rFonts w:hint="eastAsia"/>
          <w:b w:val="0"/>
          <w:bCs w:val="0"/>
          <w:color w:val="auto"/>
          <w:sz w:val="32"/>
        </w:rPr>
        <w:t>（征求意见稿）</w:t>
      </w: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p>
      <w:pPr>
        <w:jc w:val="left"/>
        <w:rPr>
          <w:b w:val="0"/>
          <w:bCs w:val="0"/>
          <w:color w:val="auto"/>
          <w:sz w:val="32"/>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20"/>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5920" w:type="dxa"/>
            <w:vAlign w:val="center"/>
          </w:tcPr>
          <w:p>
            <w:pPr>
              <w:spacing w:line="400" w:lineRule="exact"/>
              <w:jc w:val="center"/>
              <w:rPr>
                <w:rFonts w:eastAsia="仿宋_GB2312"/>
                <w:b w:val="0"/>
                <w:bCs w:val="0"/>
                <w:color w:val="auto"/>
                <w:sz w:val="28"/>
                <w:szCs w:val="28"/>
              </w:rPr>
            </w:pPr>
            <w:r>
              <w:rPr>
                <w:rFonts w:hint="eastAsia" w:eastAsia="仿宋_GB2312"/>
                <w:b w:val="0"/>
                <w:bCs w:val="0"/>
                <w:color w:val="auto"/>
                <w:sz w:val="28"/>
                <w:szCs w:val="28"/>
              </w:rPr>
              <w:t>长春市城乡建设委员会</w:t>
            </w:r>
          </w:p>
          <w:p>
            <w:pPr>
              <w:spacing w:line="400" w:lineRule="exact"/>
              <w:ind w:firstLine="2240" w:firstLineChars="800"/>
              <w:rPr>
                <w:rFonts w:eastAsia="仿宋_GB2312"/>
                <w:b w:val="0"/>
                <w:bCs w:val="0"/>
                <w:color w:val="auto"/>
                <w:sz w:val="28"/>
                <w:szCs w:val="28"/>
              </w:rPr>
            </w:pPr>
            <w:r>
              <w:rPr>
                <w:rFonts w:hint="eastAsia" w:eastAsia="仿宋_GB2312"/>
                <w:b w:val="0"/>
                <w:bCs w:val="0"/>
                <w:color w:val="auto"/>
                <w:sz w:val="28"/>
                <w:szCs w:val="28"/>
              </w:rPr>
              <w:t>2020年**月</w:t>
            </w:r>
          </w:p>
        </w:tc>
        <w:tc>
          <w:tcPr>
            <w:tcW w:w="1701" w:type="dxa"/>
            <w:vAlign w:val="center"/>
          </w:tcPr>
          <w:p>
            <w:pPr>
              <w:rPr>
                <w:b w:val="0"/>
                <w:bCs w:val="0"/>
                <w:color w:val="auto"/>
              </w:rPr>
            </w:pPr>
          </w:p>
        </w:tc>
      </w:tr>
    </w:tbl>
    <w:p>
      <w:pPr>
        <w:jc w:val="center"/>
        <w:rPr>
          <w:rFonts w:ascii="黑体" w:hAnsi="黑体" w:eastAsia="黑体"/>
          <w:b w:val="0"/>
          <w:bCs w:val="0"/>
          <w:color w:val="auto"/>
          <w:sz w:val="32"/>
        </w:rPr>
      </w:pPr>
    </w:p>
    <w:p>
      <w:pPr>
        <w:jc w:val="center"/>
        <w:rPr>
          <w:rFonts w:ascii="黑体" w:hAnsi="黑体" w:eastAsia="黑体"/>
          <w:b w:val="0"/>
          <w:bCs w:val="0"/>
          <w:color w:val="auto"/>
          <w:sz w:val="32"/>
        </w:rPr>
      </w:pPr>
    </w:p>
    <w:p>
      <w:pPr>
        <w:ind w:firstLine="3120" w:firstLineChars="1300"/>
        <w:jc w:val="center"/>
        <w:rPr>
          <w:b w:val="0"/>
          <w:bCs w:val="0"/>
          <w:color w:val="auto"/>
          <w:szCs w:val="28"/>
        </w:rPr>
      </w:pPr>
    </w:p>
    <w:p>
      <w:pPr>
        <w:jc w:val="center"/>
        <w:rPr>
          <w:rFonts w:ascii="黑体" w:hAnsi="黑体" w:eastAsia="黑体"/>
          <w:b w:val="0"/>
          <w:bCs w:val="0"/>
          <w:color w:val="auto"/>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黑体" w:hAnsi="黑体" w:eastAsia="黑体"/>
          <w:b w:val="0"/>
          <w:bCs w:val="0"/>
          <w:color w:val="auto"/>
          <w:sz w:val="28"/>
          <w:szCs w:val="28"/>
        </w:rPr>
      </w:pPr>
      <w:r>
        <w:rPr>
          <w:rFonts w:ascii="黑体" w:hAnsi="黑体" w:eastAsia="黑体"/>
          <w:b w:val="0"/>
          <w:bCs w:val="0"/>
          <w:color w:val="auto"/>
          <w:sz w:val="28"/>
          <w:szCs w:val="28"/>
        </w:rPr>
        <w:t>前  言</w:t>
      </w:r>
    </w:p>
    <w:p>
      <w:pPr>
        <w:rPr>
          <w:b w:val="0"/>
          <w:bCs w:val="0"/>
          <w:color w:val="auto"/>
        </w:rPr>
      </w:pPr>
    </w:p>
    <w:p>
      <w:pPr>
        <w:ind w:firstLine="480" w:firstLineChars="200"/>
        <w:rPr>
          <w:rFonts w:ascii="宋体" w:hAnsi="宋体"/>
          <w:b w:val="0"/>
          <w:bCs w:val="0"/>
          <w:color w:val="auto"/>
        </w:rPr>
      </w:pPr>
      <w:r>
        <w:rPr>
          <w:rFonts w:hint="eastAsia" w:ascii="宋体" w:hAnsi="宋体"/>
          <w:b w:val="0"/>
          <w:bCs w:val="0"/>
          <w:color w:val="auto"/>
        </w:rPr>
        <w:t>按照长春市城乡建设委员会</w:t>
      </w:r>
      <w:r>
        <w:rPr>
          <w:rFonts w:ascii="宋体" w:hAnsi="宋体"/>
          <w:b w:val="0"/>
          <w:bCs w:val="0"/>
          <w:color w:val="auto"/>
        </w:rPr>
        <w:t>的要求，</w:t>
      </w:r>
      <w:r>
        <w:rPr>
          <w:rFonts w:hint="eastAsia" w:ascii="宋体" w:hAnsi="宋体"/>
          <w:b w:val="0"/>
          <w:bCs w:val="0"/>
          <w:color w:val="auto"/>
        </w:rPr>
        <w:t>长春市市政工程设计研究院会同有关单位开展了长春市《装配式建筑评价导则》</w:t>
      </w:r>
      <w:r>
        <w:rPr>
          <w:rFonts w:hint="eastAsia"/>
          <w:b w:val="0"/>
          <w:bCs w:val="0"/>
          <w:color w:val="auto"/>
        </w:rPr>
        <w:t>的编制工作。编制组经过了</w:t>
      </w:r>
      <w:r>
        <w:rPr>
          <w:rFonts w:ascii="宋体" w:hAnsi="宋体"/>
          <w:b w:val="0"/>
          <w:bCs w:val="0"/>
          <w:color w:val="auto"/>
        </w:rPr>
        <w:t>广泛</w:t>
      </w:r>
      <w:r>
        <w:rPr>
          <w:rFonts w:hint="eastAsia" w:ascii="宋体" w:hAnsi="宋体"/>
          <w:b w:val="0"/>
          <w:bCs w:val="0"/>
          <w:color w:val="auto"/>
        </w:rPr>
        <w:t>的</w:t>
      </w:r>
      <w:r>
        <w:rPr>
          <w:rFonts w:ascii="宋体" w:hAnsi="宋体"/>
          <w:b w:val="0"/>
          <w:bCs w:val="0"/>
          <w:color w:val="auto"/>
        </w:rPr>
        <w:t>调查研究，认真总结</w:t>
      </w:r>
      <w:r>
        <w:rPr>
          <w:rFonts w:hint="eastAsia" w:asciiTheme="minorEastAsia" w:hAnsiTheme="minorEastAsia" w:eastAsiaTheme="minorEastAsia" w:cstheme="minorEastAsia"/>
          <w:b w:val="0"/>
          <w:bCs w:val="0"/>
          <w:color w:val="auto"/>
        </w:rPr>
        <w:t>了《装配式建筑评价标准》GB/T 51129的实施情况和实践经验，结合长春市装配式部品的种类和产能，参考有关省市颁布的装配式建筑装配率计算办法，编制了本导则</w:t>
      </w:r>
      <w:r>
        <w:rPr>
          <w:rFonts w:ascii="宋体" w:hAnsi="宋体"/>
          <w:b w:val="0"/>
          <w:bCs w:val="0"/>
          <w:color w:val="auto"/>
        </w:rPr>
        <w:t>。</w:t>
      </w:r>
    </w:p>
    <w:p>
      <w:pPr>
        <w:ind w:firstLine="480" w:firstLineChars="200"/>
        <w:rPr>
          <w:rFonts w:ascii="宋体" w:hAnsi="宋体"/>
          <w:b w:val="0"/>
          <w:bCs w:val="0"/>
          <w:color w:val="auto"/>
        </w:rPr>
      </w:pPr>
      <w:r>
        <w:rPr>
          <w:rFonts w:ascii="宋体" w:hAnsi="宋体"/>
          <w:b w:val="0"/>
          <w:bCs w:val="0"/>
          <w:color w:val="auto"/>
        </w:rPr>
        <w:t>本</w:t>
      </w:r>
      <w:r>
        <w:rPr>
          <w:rFonts w:hint="eastAsia" w:ascii="宋体" w:hAnsi="宋体"/>
          <w:b w:val="0"/>
          <w:bCs w:val="0"/>
          <w:color w:val="auto"/>
        </w:rPr>
        <w:t>导则</w:t>
      </w:r>
      <w:r>
        <w:rPr>
          <w:rFonts w:ascii="宋体" w:hAnsi="宋体"/>
          <w:b w:val="0"/>
          <w:bCs w:val="0"/>
          <w:color w:val="auto"/>
        </w:rPr>
        <w:t>的主要技术内容</w:t>
      </w:r>
      <w:r>
        <w:rPr>
          <w:rFonts w:hint="eastAsia" w:ascii="宋体" w:hAnsi="宋体"/>
          <w:b w:val="0"/>
          <w:bCs w:val="0"/>
          <w:color w:val="auto"/>
        </w:rPr>
        <w:t>包括</w:t>
      </w:r>
      <w:r>
        <w:rPr>
          <w:rFonts w:ascii="宋体" w:hAnsi="宋体"/>
          <w:b w:val="0"/>
          <w:bCs w:val="0"/>
          <w:color w:val="auto"/>
        </w:rPr>
        <w:t>：1.总则；</w:t>
      </w:r>
      <w:r>
        <w:rPr>
          <w:b w:val="0"/>
          <w:bCs w:val="0"/>
          <w:color w:val="auto"/>
        </w:rPr>
        <w:t>2</w:t>
      </w:r>
      <w:r>
        <w:rPr>
          <w:rFonts w:ascii="宋体" w:hAnsi="宋体"/>
          <w:b w:val="0"/>
          <w:bCs w:val="0"/>
          <w:color w:val="auto"/>
        </w:rPr>
        <w:t>.术语</w:t>
      </w:r>
      <w:r>
        <w:rPr>
          <w:rFonts w:hint="eastAsia" w:ascii="宋体" w:hAnsi="宋体"/>
          <w:b w:val="0"/>
          <w:bCs w:val="0"/>
          <w:color w:val="auto"/>
        </w:rPr>
        <w:t>和符号</w:t>
      </w:r>
      <w:r>
        <w:rPr>
          <w:rFonts w:ascii="宋体" w:hAnsi="宋体"/>
          <w:b w:val="0"/>
          <w:bCs w:val="0"/>
          <w:color w:val="auto"/>
        </w:rPr>
        <w:t>；</w:t>
      </w:r>
      <w:r>
        <w:rPr>
          <w:b w:val="0"/>
          <w:bCs w:val="0"/>
          <w:color w:val="auto"/>
        </w:rPr>
        <w:t>3</w:t>
      </w:r>
      <w:r>
        <w:rPr>
          <w:rFonts w:ascii="宋体" w:hAnsi="宋体"/>
          <w:b w:val="0"/>
          <w:bCs w:val="0"/>
          <w:color w:val="auto"/>
        </w:rPr>
        <w:t>.基本规定；</w:t>
      </w:r>
      <w:r>
        <w:rPr>
          <w:b w:val="0"/>
          <w:bCs w:val="0"/>
          <w:color w:val="auto"/>
        </w:rPr>
        <w:t>4</w:t>
      </w:r>
      <w:r>
        <w:rPr>
          <w:rFonts w:ascii="宋体" w:hAnsi="宋体"/>
          <w:b w:val="0"/>
          <w:bCs w:val="0"/>
          <w:color w:val="auto"/>
        </w:rPr>
        <w:t>.</w:t>
      </w:r>
      <w:r>
        <w:rPr>
          <w:rFonts w:hint="eastAsia" w:ascii="宋体" w:hAnsi="宋体"/>
          <w:b w:val="0"/>
          <w:bCs w:val="0"/>
          <w:color w:val="auto"/>
        </w:rPr>
        <w:t>装配式建筑装配率计算与评价</w:t>
      </w:r>
      <w:r>
        <w:rPr>
          <w:rFonts w:ascii="宋体" w:hAnsi="宋体"/>
          <w:b w:val="0"/>
          <w:bCs w:val="0"/>
          <w:color w:val="auto"/>
        </w:rPr>
        <w:t>。</w:t>
      </w:r>
    </w:p>
    <w:p>
      <w:pPr>
        <w:ind w:firstLine="480" w:firstLineChars="200"/>
        <w:rPr>
          <w:rFonts w:ascii="宋体" w:hAnsi="宋体"/>
          <w:b w:val="0"/>
          <w:bCs w:val="0"/>
          <w:color w:val="auto"/>
        </w:rPr>
      </w:pPr>
      <w:r>
        <w:rPr>
          <w:rFonts w:ascii="宋体" w:hAnsi="宋体"/>
          <w:b w:val="0"/>
          <w:bCs w:val="0"/>
          <w:color w:val="auto"/>
        </w:rPr>
        <w:t>本</w:t>
      </w:r>
      <w:r>
        <w:rPr>
          <w:rFonts w:hint="eastAsia" w:ascii="宋体" w:hAnsi="宋体"/>
          <w:b w:val="0"/>
          <w:bCs w:val="0"/>
          <w:color w:val="auto"/>
        </w:rPr>
        <w:t>导则</w:t>
      </w:r>
      <w:r>
        <w:rPr>
          <w:rFonts w:ascii="宋体" w:hAnsi="宋体"/>
          <w:b w:val="0"/>
          <w:bCs w:val="0"/>
          <w:color w:val="auto"/>
        </w:rPr>
        <w:t>由</w:t>
      </w:r>
      <w:r>
        <w:rPr>
          <w:rFonts w:hint="eastAsia" w:ascii="宋体" w:hAnsi="宋体"/>
          <w:b w:val="0"/>
          <w:bCs w:val="0"/>
          <w:color w:val="auto"/>
        </w:rPr>
        <w:t>长春市城乡建设委员会</w:t>
      </w:r>
      <w:r>
        <w:rPr>
          <w:rFonts w:ascii="宋体" w:hAnsi="宋体"/>
          <w:b w:val="0"/>
          <w:bCs w:val="0"/>
          <w:color w:val="auto"/>
        </w:rPr>
        <w:t>负责管理，由</w:t>
      </w:r>
      <w:r>
        <w:rPr>
          <w:rFonts w:hint="eastAsia" w:ascii="宋体" w:hAnsi="宋体"/>
          <w:b w:val="0"/>
          <w:bCs w:val="0"/>
          <w:color w:val="auto"/>
        </w:rPr>
        <w:t>长春市市政工程设计研究院</w:t>
      </w:r>
      <w:r>
        <w:rPr>
          <w:rFonts w:ascii="宋体" w:hAnsi="宋体"/>
          <w:b w:val="0"/>
          <w:bCs w:val="0"/>
          <w:color w:val="auto"/>
        </w:rPr>
        <w:t>负责具体技术内容的解释。</w:t>
      </w:r>
      <w:r>
        <w:rPr>
          <w:rFonts w:hint="eastAsia" w:ascii="宋体" w:hAnsi="宋体"/>
          <w:b w:val="0"/>
          <w:bCs w:val="0"/>
          <w:color w:val="auto"/>
        </w:rPr>
        <w:t>本导则执行过程中如有意见和建议</w:t>
      </w:r>
      <w:r>
        <w:rPr>
          <w:rFonts w:ascii="宋体" w:hAnsi="宋体"/>
          <w:b w:val="0"/>
          <w:bCs w:val="0"/>
          <w:color w:val="auto"/>
        </w:rPr>
        <w:t>，</w:t>
      </w:r>
      <w:r>
        <w:rPr>
          <w:rFonts w:hint="eastAsia" w:ascii="宋体" w:hAnsi="宋体"/>
          <w:b w:val="0"/>
          <w:bCs w:val="0"/>
          <w:color w:val="auto"/>
        </w:rPr>
        <w:t>请寄交：长春市市政工程设计研究院</w:t>
      </w:r>
      <w:r>
        <w:rPr>
          <w:rFonts w:ascii="宋体" w:hAnsi="宋体"/>
          <w:b w:val="0"/>
          <w:bCs w:val="0"/>
          <w:color w:val="auto"/>
        </w:rPr>
        <w:t>（地址：</w:t>
      </w:r>
      <w:r>
        <w:rPr>
          <w:rFonts w:hint="eastAsia" w:ascii="宋体" w:hAnsi="宋体"/>
          <w:b w:val="0"/>
          <w:bCs w:val="0"/>
          <w:color w:val="auto"/>
        </w:rPr>
        <w:t>长春</w:t>
      </w:r>
      <w:r>
        <w:rPr>
          <w:rFonts w:ascii="宋体" w:hAnsi="宋体"/>
          <w:b w:val="0"/>
          <w:bCs w:val="0"/>
          <w:color w:val="auto"/>
        </w:rPr>
        <w:t>市</w:t>
      </w:r>
      <w:r>
        <w:rPr>
          <w:rFonts w:hint="eastAsia" w:ascii="宋体" w:hAnsi="宋体"/>
          <w:b w:val="0"/>
          <w:bCs w:val="0"/>
          <w:color w:val="auto"/>
        </w:rPr>
        <w:t>昆山</w:t>
      </w:r>
      <w:r>
        <w:rPr>
          <w:rFonts w:ascii="宋体" w:hAnsi="宋体"/>
          <w:b w:val="0"/>
          <w:bCs w:val="0"/>
          <w:color w:val="auto"/>
        </w:rPr>
        <w:t>路</w:t>
      </w:r>
      <w:r>
        <w:rPr>
          <w:rFonts w:hint="eastAsia"/>
          <w:b w:val="0"/>
          <w:bCs w:val="0"/>
          <w:color w:val="auto"/>
        </w:rPr>
        <w:t>855</w:t>
      </w:r>
      <w:r>
        <w:rPr>
          <w:rFonts w:ascii="宋体" w:hAnsi="宋体"/>
          <w:b w:val="0"/>
          <w:bCs w:val="0"/>
          <w:color w:val="auto"/>
        </w:rPr>
        <w:t>号；邮编：</w:t>
      </w:r>
      <w:r>
        <w:rPr>
          <w:rFonts w:hint="eastAsia"/>
          <w:b w:val="0"/>
          <w:bCs w:val="0"/>
          <w:color w:val="auto"/>
        </w:rPr>
        <w:t>*******</w:t>
      </w:r>
      <w:r>
        <w:rPr>
          <w:rFonts w:hint="eastAsia" w:ascii="宋体" w:hAnsi="宋体"/>
          <w:b w:val="0"/>
          <w:bCs w:val="0"/>
          <w:color w:val="auto"/>
        </w:rPr>
        <w:t>，邮箱</w:t>
      </w:r>
      <w:r>
        <w:rPr>
          <w:rFonts w:hAnsi="宋体"/>
          <w:b w:val="0"/>
          <w:bCs w:val="0"/>
          <w:color w:val="auto"/>
        </w:rPr>
        <w:t>：</w:t>
      </w:r>
      <w:r>
        <w:rPr>
          <w:rFonts w:hint="eastAsia"/>
          <w:b w:val="0"/>
          <w:bCs w:val="0"/>
          <w:color w:val="auto"/>
        </w:rPr>
        <w:t>**************</w:t>
      </w:r>
      <w:r>
        <w:rPr>
          <w:rFonts w:hint="eastAsia" w:ascii="宋体" w:hAnsi="宋体"/>
          <w:b w:val="0"/>
          <w:bCs w:val="0"/>
          <w:color w:val="auto"/>
        </w:rPr>
        <w:t>）</w:t>
      </w:r>
      <w:r>
        <w:rPr>
          <w:rFonts w:ascii="宋体" w:hAnsi="宋体"/>
          <w:b w:val="0"/>
          <w:bCs w:val="0"/>
          <w:color w:val="auto"/>
        </w:rPr>
        <w:t>。</w:t>
      </w:r>
    </w:p>
    <w:p>
      <w:pPr>
        <w:ind w:firstLine="480" w:firstLineChars="200"/>
        <w:rPr>
          <w:rFonts w:ascii="宋体" w:hAnsi="宋体"/>
          <w:b w:val="0"/>
          <w:bCs w:val="0"/>
          <w:color w:val="auto"/>
        </w:rPr>
      </w:pPr>
      <w:r>
        <w:rPr>
          <w:rFonts w:hint="eastAsia" w:ascii="宋体" w:hAnsi="宋体"/>
          <w:b w:val="0"/>
          <w:bCs w:val="0"/>
          <w:color w:val="auto"/>
        </w:rPr>
        <w:t>本导则主要编制单位：</w:t>
      </w:r>
    </w:p>
    <w:p>
      <w:pPr>
        <w:ind w:firstLine="480" w:firstLineChars="200"/>
        <w:rPr>
          <w:rFonts w:ascii="宋体" w:hAnsi="宋体"/>
          <w:b w:val="0"/>
          <w:bCs w:val="0"/>
          <w:color w:val="auto"/>
        </w:rPr>
      </w:pPr>
      <w:r>
        <w:rPr>
          <w:rFonts w:hint="eastAsia" w:ascii="宋体" w:hAnsi="宋体"/>
          <w:b w:val="0"/>
          <w:bCs w:val="0"/>
          <w:color w:val="auto"/>
        </w:rPr>
        <w:t>主要起草人：</w:t>
      </w:r>
    </w:p>
    <w:p>
      <w:pPr>
        <w:ind w:firstLine="480" w:firstLineChars="200"/>
        <w:rPr>
          <w:rFonts w:ascii="宋体" w:hAnsi="宋体"/>
          <w:b w:val="0"/>
          <w:bCs w:val="0"/>
          <w:color w:val="auto"/>
        </w:rPr>
      </w:pPr>
      <w:r>
        <w:rPr>
          <w:rFonts w:hint="eastAsia" w:ascii="宋体" w:hAnsi="宋体"/>
          <w:b w:val="0"/>
          <w:bCs w:val="0"/>
          <w:color w:val="auto"/>
        </w:rPr>
        <w:t>主要审查人：</w:t>
      </w:r>
    </w:p>
    <w:p>
      <w:pPr>
        <w:ind w:firstLine="480" w:firstLineChars="200"/>
        <w:rPr>
          <w:rFonts w:ascii="宋体" w:hAnsi="宋体"/>
          <w:b w:val="0"/>
          <w:bCs w:val="0"/>
          <w:color w:val="auto"/>
        </w:rPr>
        <w:sectPr>
          <w:footerReference r:id="rId5" w:type="default"/>
          <w:pgSz w:w="11906" w:h="16838"/>
          <w:pgMar w:top="1440" w:right="1800" w:bottom="1440" w:left="1800" w:header="851" w:footer="992" w:gutter="0"/>
          <w:cols w:space="425" w:num="1"/>
          <w:docGrid w:type="lines" w:linePitch="312" w:charSpace="0"/>
        </w:sectPr>
      </w:pPr>
    </w:p>
    <w:p>
      <w:pPr>
        <w:jc w:val="center"/>
        <w:rPr>
          <w:rFonts w:ascii="宋体" w:hAnsi="宋体"/>
          <w:b w:val="0"/>
          <w:bCs w:val="0"/>
          <w:color w:val="auto"/>
          <w:sz w:val="32"/>
        </w:rPr>
      </w:pPr>
    </w:p>
    <w:p>
      <w:pPr>
        <w:jc w:val="center"/>
        <w:rPr>
          <w:rFonts w:ascii="宋体" w:hAnsi="宋体"/>
          <w:b w:val="0"/>
          <w:bCs w:val="0"/>
          <w:color w:val="auto"/>
          <w:sz w:val="32"/>
        </w:rPr>
      </w:pPr>
      <w:r>
        <w:rPr>
          <w:rFonts w:hint="eastAsia" w:ascii="宋体" w:hAnsi="宋体"/>
          <w:b w:val="0"/>
          <w:bCs w:val="0"/>
          <w:color w:val="auto"/>
          <w:sz w:val="32"/>
        </w:rPr>
        <w:t>目    次</w:t>
      </w:r>
    </w:p>
    <w:p>
      <w:pPr>
        <w:jc w:val="center"/>
        <w:rPr>
          <w:rFonts w:ascii="宋体" w:hAnsi="宋体"/>
          <w:b w:val="0"/>
          <w:bCs w:val="0"/>
          <w:color w:val="auto"/>
          <w:sz w:val="32"/>
        </w:rPr>
      </w:pPr>
    </w:p>
    <w:p>
      <w:pPr>
        <w:pStyle w:val="16"/>
        <w:tabs>
          <w:tab w:val="right" w:leader="dot" w:pos="8296"/>
        </w:tabs>
        <w:spacing w:line="312" w:lineRule="auto"/>
        <w:rPr>
          <w:rFonts w:asciiTheme="minorHAnsi" w:hAnsiTheme="minorHAnsi" w:eastAsiaTheme="minorEastAsia" w:cstheme="minorBidi"/>
          <w:b w:val="0"/>
          <w:bCs w:val="0"/>
          <w:caps w:val="0"/>
          <w:color w:val="auto"/>
          <w:sz w:val="28"/>
          <w:szCs w:val="28"/>
        </w:rPr>
      </w:pPr>
      <w:r>
        <w:rPr>
          <w:rFonts w:ascii="宋体" w:hAnsi="宋体"/>
          <w:b w:val="0"/>
          <w:bCs w:val="0"/>
          <w:color w:val="auto"/>
          <w:sz w:val="28"/>
          <w:szCs w:val="28"/>
        </w:rPr>
        <w:fldChar w:fldCharType="begin"/>
      </w:r>
      <w:r>
        <w:rPr>
          <w:rFonts w:ascii="宋体" w:hAnsi="宋体"/>
          <w:b w:val="0"/>
          <w:bCs w:val="0"/>
          <w:color w:val="auto"/>
          <w:sz w:val="28"/>
          <w:szCs w:val="28"/>
        </w:rPr>
        <w:instrText xml:space="preserve"> TOC \o "1-3" \h \z \u </w:instrText>
      </w:r>
      <w:r>
        <w:rPr>
          <w:rFonts w:ascii="宋体" w:hAnsi="宋体"/>
          <w:b w:val="0"/>
          <w:bCs w:val="0"/>
          <w:color w:val="auto"/>
          <w:sz w:val="28"/>
          <w:szCs w:val="28"/>
        </w:rPr>
        <w:fldChar w:fldCharType="separate"/>
      </w:r>
      <w:r>
        <w:rPr>
          <w:b w:val="0"/>
          <w:bCs w:val="0"/>
          <w:color w:val="auto"/>
        </w:rPr>
        <w:fldChar w:fldCharType="begin"/>
      </w:r>
      <w:r>
        <w:rPr>
          <w:b w:val="0"/>
          <w:bCs w:val="0"/>
          <w:color w:val="auto"/>
        </w:rPr>
        <w:instrText xml:space="preserve"> HYPERLINK \l "_Toc468445331" </w:instrText>
      </w:r>
      <w:r>
        <w:rPr>
          <w:b w:val="0"/>
          <w:bCs w:val="0"/>
          <w:color w:val="auto"/>
        </w:rPr>
        <w:fldChar w:fldCharType="separate"/>
      </w:r>
      <w:r>
        <w:rPr>
          <w:rStyle w:val="27"/>
          <w:b w:val="0"/>
          <w:bCs w:val="0"/>
          <w:color w:val="auto"/>
          <w:sz w:val="28"/>
          <w:szCs w:val="28"/>
        </w:rPr>
        <w:t xml:space="preserve">1  </w:t>
      </w:r>
      <w:r>
        <w:rPr>
          <w:rStyle w:val="27"/>
          <w:rFonts w:hint="eastAsia"/>
          <w:b w:val="0"/>
          <w:bCs w:val="0"/>
          <w:color w:val="auto"/>
          <w:sz w:val="28"/>
          <w:szCs w:val="28"/>
        </w:rPr>
        <w:t>总则</w:t>
      </w:r>
      <w:r>
        <w:rPr>
          <w:rFonts w:ascii="Arial" w:hAnsi="Arial" w:cs="Arial"/>
          <w:b w:val="0"/>
          <w:bCs w:val="0"/>
          <w:color w:val="auto"/>
          <w:sz w:val="28"/>
          <w:szCs w:val="28"/>
        </w:rPr>
        <w:t>…………………………………………………………………</w:t>
      </w:r>
      <w:r>
        <w:rPr>
          <w:b w:val="0"/>
          <w:bCs w:val="0"/>
          <w:color w:val="auto"/>
          <w:sz w:val="28"/>
          <w:szCs w:val="28"/>
        </w:rPr>
        <w:fldChar w:fldCharType="begin"/>
      </w:r>
      <w:r>
        <w:rPr>
          <w:b w:val="0"/>
          <w:bCs w:val="0"/>
          <w:color w:val="auto"/>
          <w:sz w:val="28"/>
          <w:szCs w:val="28"/>
        </w:rPr>
        <w:instrText xml:space="preserve"> PAGEREF _Toc468445331 \h </w:instrText>
      </w:r>
      <w:r>
        <w:rPr>
          <w:b w:val="0"/>
          <w:bCs w:val="0"/>
          <w:color w:val="auto"/>
          <w:sz w:val="28"/>
          <w:szCs w:val="28"/>
        </w:rPr>
        <w:fldChar w:fldCharType="separate"/>
      </w:r>
      <w:r>
        <w:rPr>
          <w:b w:val="0"/>
          <w:bCs w:val="0"/>
          <w:color w:val="auto"/>
          <w:sz w:val="28"/>
          <w:szCs w:val="28"/>
        </w:rPr>
        <w:t>1</w:t>
      </w:r>
      <w:r>
        <w:rPr>
          <w:b w:val="0"/>
          <w:bCs w:val="0"/>
          <w:color w:val="auto"/>
          <w:sz w:val="28"/>
          <w:szCs w:val="28"/>
        </w:rPr>
        <w:fldChar w:fldCharType="end"/>
      </w:r>
      <w:r>
        <w:rPr>
          <w:b w:val="0"/>
          <w:bCs w:val="0"/>
          <w:color w:val="auto"/>
          <w:sz w:val="28"/>
          <w:szCs w:val="28"/>
        </w:rPr>
        <w:fldChar w:fldCharType="end"/>
      </w:r>
    </w:p>
    <w:p>
      <w:pPr>
        <w:pStyle w:val="16"/>
        <w:tabs>
          <w:tab w:val="right" w:leader="dot" w:pos="8296"/>
        </w:tabs>
        <w:spacing w:line="312" w:lineRule="auto"/>
        <w:rPr>
          <w:b w:val="0"/>
          <w:bCs w:val="0"/>
          <w:color w:val="auto"/>
          <w:sz w:val="28"/>
          <w:szCs w:val="28"/>
        </w:rPr>
      </w:pPr>
      <w:r>
        <w:rPr>
          <w:b w:val="0"/>
          <w:bCs w:val="0"/>
          <w:color w:val="auto"/>
        </w:rPr>
        <w:fldChar w:fldCharType="begin"/>
      </w:r>
      <w:r>
        <w:rPr>
          <w:b w:val="0"/>
          <w:bCs w:val="0"/>
          <w:color w:val="auto"/>
        </w:rPr>
        <w:instrText xml:space="preserve"> HYPERLINK \l "_Toc468445332" </w:instrText>
      </w:r>
      <w:r>
        <w:rPr>
          <w:b w:val="0"/>
          <w:bCs w:val="0"/>
          <w:color w:val="auto"/>
        </w:rPr>
        <w:fldChar w:fldCharType="separate"/>
      </w:r>
      <w:r>
        <w:rPr>
          <w:rStyle w:val="27"/>
          <w:b w:val="0"/>
          <w:bCs w:val="0"/>
          <w:color w:val="auto"/>
          <w:sz w:val="28"/>
          <w:szCs w:val="28"/>
        </w:rPr>
        <w:t xml:space="preserve">2  </w:t>
      </w:r>
      <w:r>
        <w:rPr>
          <w:rStyle w:val="27"/>
          <w:rFonts w:hint="eastAsia"/>
          <w:b w:val="0"/>
          <w:bCs w:val="0"/>
          <w:color w:val="auto"/>
          <w:sz w:val="28"/>
          <w:szCs w:val="28"/>
        </w:rPr>
        <w:t>术语和符号</w:t>
      </w:r>
      <w:r>
        <w:rPr>
          <w:rFonts w:ascii="Arial" w:hAnsi="Arial" w:cs="Arial"/>
          <w:b w:val="0"/>
          <w:bCs w:val="0"/>
          <w:color w:val="auto"/>
          <w:sz w:val="28"/>
          <w:szCs w:val="28"/>
        </w:rPr>
        <w:t>…………………………………………………………</w:t>
      </w:r>
      <w:r>
        <w:rPr>
          <w:b w:val="0"/>
          <w:bCs w:val="0"/>
          <w:color w:val="auto"/>
          <w:sz w:val="28"/>
          <w:szCs w:val="28"/>
        </w:rPr>
        <w:fldChar w:fldCharType="begin"/>
      </w:r>
      <w:r>
        <w:rPr>
          <w:b w:val="0"/>
          <w:bCs w:val="0"/>
          <w:color w:val="auto"/>
          <w:sz w:val="28"/>
          <w:szCs w:val="28"/>
        </w:rPr>
        <w:instrText xml:space="preserve"> PAGEREF _Toc468445332 \h </w:instrText>
      </w:r>
      <w:r>
        <w:rPr>
          <w:b w:val="0"/>
          <w:bCs w:val="0"/>
          <w:color w:val="auto"/>
          <w:sz w:val="28"/>
          <w:szCs w:val="28"/>
        </w:rPr>
        <w:fldChar w:fldCharType="separate"/>
      </w:r>
      <w:r>
        <w:rPr>
          <w:b w:val="0"/>
          <w:bCs w:val="0"/>
          <w:color w:val="auto"/>
          <w:sz w:val="28"/>
          <w:szCs w:val="28"/>
        </w:rPr>
        <w:t>2</w:t>
      </w:r>
      <w:r>
        <w:rPr>
          <w:b w:val="0"/>
          <w:bCs w:val="0"/>
          <w:color w:val="auto"/>
          <w:sz w:val="28"/>
          <w:szCs w:val="28"/>
        </w:rPr>
        <w:fldChar w:fldCharType="end"/>
      </w:r>
      <w:r>
        <w:rPr>
          <w:b w:val="0"/>
          <w:bCs w:val="0"/>
          <w:color w:val="auto"/>
          <w:sz w:val="28"/>
          <w:szCs w:val="28"/>
        </w:rPr>
        <w:fldChar w:fldCharType="end"/>
      </w:r>
    </w:p>
    <w:p>
      <w:pPr>
        <w:rPr>
          <w:b w:val="0"/>
          <w:bCs w:val="0"/>
          <w:color w:val="auto"/>
          <w:sz w:val="28"/>
          <w:szCs w:val="28"/>
        </w:rPr>
      </w:pPr>
      <w:r>
        <w:rPr>
          <w:rFonts w:hint="eastAsia"/>
          <w:b w:val="0"/>
          <w:bCs w:val="0"/>
          <w:color w:val="auto"/>
          <w:sz w:val="28"/>
          <w:szCs w:val="28"/>
        </w:rPr>
        <w:t xml:space="preserve">  2.1  术语</w:t>
      </w:r>
      <w:r>
        <w:rPr>
          <w:rFonts w:ascii="Arial" w:hAnsi="Arial" w:cs="Arial"/>
          <w:b w:val="0"/>
          <w:bCs w:val="0"/>
          <w:color w:val="auto"/>
          <w:sz w:val="28"/>
          <w:szCs w:val="28"/>
        </w:rPr>
        <w:t>……………………………………………………………</w:t>
      </w:r>
      <w:r>
        <w:rPr>
          <w:rFonts w:hint="eastAsia" w:ascii="Arial" w:hAnsi="Arial" w:cs="Arial"/>
          <w:b w:val="0"/>
          <w:bCs w:val="0"/>
          <w:color w:val="auto"/>
          <w:sz w:val="28"/>
          <w:szCs w:val="28"/>
        </w:rPr>
        <w:t xml:space="preserve"> </w:t>
      </w:r>
      <w:r>
        <w:rPr>
          <w:rFonts w:hint="eastAsia"/>
          <w:b w:val="0"/>
          <w:bCs w:val="0"/>
          <w:color w:val="auto"/>
          <w:sz w:val="28"/>
          <w:szCs w:val="28"/>
        </w:rPr>
        <w:t>2</w:t>
      </w:r>
    </w:p>
    <w:p>
      <w:pPr>
        <w:rPr>
          <w:b w:val="0"/>
          <w:bCs w:val="0"/>
          <w:color w:val="auto"/>
          <w:sz w:val="28"/>
          <w:szCs w:val="28"/>
        </w:rPr>
      </w:pPr>
      <w:r>
        <w:rPr>
          <w:rFonts w:hint="eastAsia"/>
          <w:b w:val="0"/>
          <w:bCs w:val="0"/>
          <w:color w:val="auto"/>
          <w:sz w:val="28"/>
          <w:szCs w:val="28"/>
        </w:rPr>
        <w:t xml:space="preserve">  2.2  符号</w:t>
      </w:r>
      <w:r>
        <w:rPr>
          <w:rFonts w:ascii="Arial" w:hAnsi="Arial" w:cs="Arial"/>
          <w:b w:val="0"/>
          <w:bCs w:val="0"/>
          <w:color w:val="auto"/>
          <w:sz w:val="28"/>
          <w:szCs w:val="28"/>
        </w:rPr>
        <w:t>……………………………………………………………</w:t>
      </w:r>
      <w:r>
        <w:rPr>
          <w:rFonts w:hint="eastAsia"/>
          <w:b w:val="0"/>
          <w:bCs w:val="0"/>
          <w:color w:val="auto"/>
          <w:sz w:val="28"/>
          <w:szCs w:val="28"/>
        </w:rPr>
        <w:t>4</w:t>
      </w:r>
    </w:p>
    <w:p>
      <w:pPr>
        <w:pStyle w:val="16"/>
        <w:tabs>
          <w:tab w:val="right" w:leader="dot" w:pos="8296"/>
        </w:tabs>
        <w:spacing w:line="312" w:lineRule="auto"/>
        <w:rPr>
          <w:rFonts w:asciiTheme="minorHAnsi" w:hAnsiTheme="minorHAnsi" w:cstheme="minorBidi"/>
          <w:b w:val="0"/>
          <w:bCs w:val="0"/>
          <w:color w:val="auto"/>
          <w:sz w:val="28"/>
          <w:szCs w:val="28"/>
        </w:rPr>
      </w:pPr>
      <w:r>
        <w:rPr>
          <w:b w:val="0"/>
          <w:bCs w:val="0"/>
          <w:color w:val="auto"/>
        </w:rPr>
        <w:fldChar w:fldCharType="begin"/>
      </w:r>
      <w:r>
        <w:rPr>
          <w:b w:val="0"/>
          <w:bCs w:val="0"/>
          <w:color w:val="auto"/>
        </w:rPr>
        <w:instrText xml:space="preserve"> HYPERLINK \l "_Toc468445333" </w:instrText>
      </w:r>
      <w:r>
        <w:rPr>
          <w:b w:val="0"/>
          <w:bCs w:val="0"/>
          <w:color w:val="auto"/>
        </w:rPr>
        <w:fldChar w:fldCharType="separate"/>
      </w:r>
      <w:r>
        <w:rPr>
          <w:rStyle w:val="27"/>
          <w:b w:val="0"/>
          <w:bCs w:val="0"/>
          <w:color w:val="auto"/>
          <w:sz w:val="28"/>
          <w:szCs w:val="28"/>
        </w:rPr>
        <w:t xml:space="preserve">3  </w:t>
      </w:r>
      <w:r>
        <w:rPr>
          <w:rStyle w:val="27"/>
          <w:rFonts w:hint="eastAsia"/>
          <w:b w:val="0"/>
          <w:bCs w:val="0"/>
          <w:color w:val="auto"/>
          <w:sz w:val="28"/>
          <w:szCs w:val="28"/>
        </w:rPr>
        <w:t>基本规定</w:t>
      </w:r>
      <w:r>
        <w:rPr>
          <w:rFonts w:ascii="Arial" w:hAnsi="Arial" w:cs="Arial"/>
          <w:b w:val="0"/>
          <w:bCs w:val="0"/>
          <w:color w:val="auto"/>
          <w:sz w:val="28"/>
          <w:szCs w:val="28"/>
        </w:rPr>
        <w:t>……………………………………………………………</w:t>
      </w:r>
      <w:r>
        <w:rPr>
          <w:rFonts w:hint="eastAsia"/>
          <w:b w:val="0"/>
          <w:bCs w:val="0"/>
          <w:color w:val="auto"/>
          <w:sz w:val="28"/>
          <w:szCs w:val="28"/>
        </w:rPr>
        <w:t>6</w:t>
      </w:r>
      <w:r>
        <w:rPr>
          <w:rFonts w:hint="eastAsia"/>
          <w:b w:val="0"/>
          <w:bCs w:val="0"/>
          <w:color w:val="auto"/>
          <w:sz w:val="28"/>
          <w:szCs w:val="28"/>
        </w:rPr>
        <w:fldChar w:fldCharType="end"/>
      </w:r>
    </w:p>
    <w:p>
      <w:pPr>
        <w:pStyle w:val="16"/>
        <w:tabs>
          <w:tab w:val="right" w:leader="dot" w:pos="8296"/>
        </w:tabs>
        <w:spacing w:line="312" w:lineRule="auto"/>
        <w:rPr>
          <w:rFonts w:asciiTheme="minorHAnsi" w:hAnsiTheme="minorHAnsi" w:cstheme="minorBidi"/>
          <w:b w:val="0"/>
          <w:bCs w:val="0"/>
          <w:caps w:val="0"/>
          <w:color w:val="auto"/>
          <w:sz w:val="28"/>
          <w:szCs w:val="28"/>
        </w:rPr>
      </w:pPr>
      <w:r>
        <w:rPr>
          <w:b w:val="0"/>
          <w:bCs w:val="0"/>
          <w:color w:val="auto"/>
        </w:rPr>
        <w:fldChar w:fldCharType="begin"/>
      </w:r>
      <w:r>
        <w:rPr>
          <w:b w:val="0"/>
          <w:bCs w:val="0"/>
          <w:color w:val="auto"/>
        </w:rPr>
        <w:instrText xml:space="preserve"> HYPERLINK \l "_Toc468445336" </w:instrText>
      </w:r>
      <w:r>
        <w:rPr>
          <w:b w:val="0"/>
          <w:bCs w:val="0"/>
          <w:color w:val="auto"/>
        </w:rPr>
        <w:fldChar w:fldCharType="separate"/>
      </w:r>
      <w:r>
        <w:rPr>
          <w:rStyle w:val="27"/>
          <w:b w:val="0"/>
          <w:bCs w:val="0"/>
          <w:color w:val="auto"/>
          <w:sz w:val="28"/>
          <w:szCs w:val="28"/>
        </w:rPr>
        <w:t xml:space="preserve">4  </w:t>
      </w:r>
      <w:r>
        <w:rPr>
          <w:rStyle w:val="27"/>
          <w:rFonts w:hint="eastAsia"/>
          <w:b w:val="0"/>
          <w:bCs w:val="0"/>
          <w:color w:val="auto"/>
          <w:sz w:val="28"/>
          <w:szCs w:val="28"/>
        </w:rPr>
        <w:t>装配式建筑装配率计算与评</w:t>
      </w:r>
      <w:r>
        <w:rPr>
          <w:rStyle w:val="27"/>
          <w:rFonts w:hint="eastAsia"/>
          <w:b w:val="0"/>
          <w:bCs w:val="0"/>
          <w:color w:val="auto"/>
          <w:sz w:val="28"/>
          <w:szCs w:val="28"/>
          <w:lang w:val="en-US" w:eastAsia="zh-CN"/>
        </w:rPr>
        <w:t>价</w:t>
      </w:r>
      <w:r>
        <w:rPr>
          <w:rFonts w:ascii="Arial" w:hAnsi="Arial" w:cs="Arial"/>
          <w:b w:val="0"/>
          <w:bCs w:val="0"/>
          <w:color w:val="auto"/>
          <w:sz w:val="28"/>
          <w:szCs w:val="28"/>
        </w:rPr>
        <w:t>……………………………………</w:t>
      </w:r>
      <w:r>
        <w:rPr>
          <w:rFonts w:hint="eastAsia"/>
          <w:b w:val="0"/>
          <w:bCs w:val="0"/>
          <w:color w:val="auto"/>
          <w:sz w:val="28"/>
          <w:szCs w:val="28"/>
        </w:rPr>
        <w:t>7</w:t>
      </w:r>
      <w:r>
        <w:rPr>
          <w:rFonts w:hint="eastAsia"/>
          <w:b w:val="0"/>
          <w:bCs w:val="0"/>
          <w:color w:val="auto"/>
          <w:sz w:val="28"/>
          <w:szCs w:val="28"/>
        </w:rPr>
        <w:fldChar w:fldCharType="end"/>
      </w:r>
    </w:p>
    <w:p>
      <w:pPr>
        <w:pStyle w:val="18"/>
        <w:tabs>
          <w:tab w:val="right" w:leader="dot" w:pos="8296"/>
        </w:tabs>
        <w:spacing w:line="312" w:lineRule="auto"/>
        <w:ind w:firstLine="283" w:firstLineChars="118"/>
        <w:rPr>
          <w:rFonts w:asciiTheme="minorHAnsi" w:hAnsiTheme="minorHAnsi" w:cstheme="minorBidi"/>
          <w:b w:val="0"/>
          <w:bCs w:val="0"/>
          <w:color w:val="auto"/>
          <w:sz w:val="28"/>
          <w:szCs w:val="28"/>
        </w:rPr>
      </w:pPr>
      <w:r>
        <w:rPr>
          <w:b w:val="0"/>
          <w:bCs w:val="0"/>
          <w:color w:val="auto"/>
        </w:rPr>
        <w:fldChar w:fldCharType="begin"/>
      </w:r>
      <w:r>
        <w:rPr>
          <w:b w:val="0"/>
          <w:bCs w:val="0"/>
          <w:color w:val="auto"/>
        </w:rPr>
        <w:instrText xml:space="preserve"> HYPERLINK \l "_Toc468445337" </w:instrText>
      </w:r>
      <w:r>
        <w:rPr>
          <w:b w:val="0"/>
          <w:bCs w:val="0"/>
          <w:color w:val="auto"/>
        </w:rPr>
        <w:fldChar w:fldCharType="separate"/>
      </w:r>
      <w:r>
        <w:rPr>
          <w:rStyle w:val="27"/>
          <w:rFonts w:eastAsiaTheme="majorEastAsia"/>
          <w:b w:val="0"/>
          <w:bCs w:val="0"/>
          <w:caps/>
          <w:color w:val="auto"/>
          <w:sz w:val="28"/>
          <w:szCs w:val="28"/>
        </w:rPr>
        <w:t xml:space="preserve">4.1  </w:t>
      </w:r>
      <w:r>
        <w:rPr>
          <w:rStyle w:val="27"/>
          <w:rFonts w:hint="eastAsia" w:eastAsiaTheme="majorEastAsia"/>
          <w:b w:val="0"/>
          <w:bCs w:val="0"/>
          <w:caps/>
          <w:color w:val="auto"/>
          <w:sz w:val="28"/>
          <w:szCs w:val="28"/>
        </w:rPr>
        <w:t>装配率计算</w:t>
      </w:r>
      <w:r>
        <w:rPr>
          <w:rFonts w:ascii="Arial" w:hAnsi="Arial" w:cs="Arial"/>
          <w:b w:val="0"/>
          <w:bCs w:val="0"/>
          <w:color w:val="auto"/>
          <w:sz w:val="28"/>
          <w:szCs w:val="28"/>
        </w:rPr>
        <w:t>……………………………………………………</w:t>
      </w:r>
      <w:r>
        <w:rPr>
          <w:rFonts w:ascii="Arial" w:hAnsi="Arial" w:cs="Arial"/>
          <w:b w:val="0"/>
          <w:bCs w:val="0"/>
          <w:color w:val="auto"/>
          <w:sz w:val="28"/>
          <w:szCs w:val="28"/>
        </w:rPr>
        <w:fldChar w:fldCharType="end"/>
      </w:r>
      <w:r>
        <w:rPr>
          <w:rFonts w:hint="eastAsia"/>
          <w:b w:val="0"/>
          <w:bCs w:val="0"/>
          <w:color w:val="auto"/>
          <w:sz w:val="28"/>
          <w:szCs w:val="28"/>
        </w:rPr>
        <w:t>7</w:t>
      </w:r>
    </w:p>
    <w:p>
      <w:pPr>
        <w:pStyle w:val="18"/>
        <w:tabs>
          <w:tab w:val="right" w:leader="dot" w:pos="8296"/>
        </w:tabs>
        <w:spacing w:line="312" w:lineRule="auto"/>
        <w:ind w:firstLine="283" w:firstLineChars="118"/>
        <w:rPr>
          <w:rFonts w:asciiTheme="minorHAnsi" w:hAnsiTheme="minorHAnsi" w:cstheme="minorBidi"/>
          <w:b w:val="0"/>
          <w:bCs w:val="0"/>
          <w:color w:val="auto"/>
          <w:sz w:val="28"/>
          <w:szCs w:val="28"/>
        </w:rPr>
      </w:pPr>
      <w:r>
        <w:rPr>
          <w:b w:val="0"/>
          <w:bCs w:val="0"/>
          <w:color w:val="auto"/>
        </w:rPr>
        <w:fldChar w:fldCharType="begin"/>
      </w:r>
      <w:r>
        <w:rPr>
          <w:b w:val="0"/>
          <w:bCs w:val="0"/>
          <w:color w:val="auto"/>
        </w:rPr>
        <w:instrText xml:space="preserve"> HYPERLINK \l "_Toc468445338" </w:instrText>
      </w:r>
      <w:r>
        <w:rPr>
          <w:b w:val="0"/>
          <w:bCs w:val="0"/>
          <w:color w:val="auto"/>
        </w:rPr>
        <w:fldChar w:fldCharType="separate"/>
      </w:r>
      <w:r>
        <w:rPr>
          <w:rStyle w:val="27"/>
          <w:rFonts w:eastAsiaTheme="majorEastAsia"/>
          <w:b w:val="0"/>
          <w:bCs w:val="0"/>
          <w:caps/>
          <w:color w:val="auto"/>
          <w:sz w:val="28"/>
          <w:szCs w:val="28"/>
        </w:rPr>
        <w:t xml:space="preserve">4.2 </w:t>
      </w:r>
      <w:r>
        <w:rPr>
          <w:rStyle w:val="27"/>
          <w:rFonts w:hint="eastAsia" w:eastAsiaTheme="majorEastAsia"/>
          <w:b w:val="0"/>
          <w:bCs w:val="0"/>
          <w:caps/>
          <w:color w:val="auto"/>
          <w:sz w:val="28"/>
          <w:szCs w:val="28"/>
        </w:rPr>
        <w:t>装配式建筑评价</w:t>
      </w:r>
      <w:r>
        <w:rPr>
          <w:rFonts w:ascii="Arial" w:hAnsi="Arial" w:cs="Arial"/>
          <w:b w:val="0"/>
          <w:bCs w:val="0"/>
          <w:color w:val="auto"/>
          <w:sz w:val="28"/>
          <w:szCs w:val="28"/>
        </w:rPr>
        <w:t>………………………………………………</w:t>
      </w:r>
      <w:r>
        <w:rPr>
          <w:rFonts w:ascii="Arial" w:hAnsi="Arial" w:cs="Arial"/>
          <w:b w:val="0"/>
          <w:bCs w:val="0"/>
          <w:color w:val="auto"/>
          <w:sz w:val="28"/>
          <w:szCs w:val="28"/>
        </w:rPr>
        <w:fldChar w:fldCharType="end"/>
      </w:r>
      <w:r>
        <w:rPr>
          <w:rFonts w:hint="eastAsia"/>
          <w:b w:val="0"/>
          <w:bCs w:val="0"/>
          <w:color w:val="auto"/>
          <w:sz w:val="28"/>
          <w:szCs w:val="28"/>
        </w:rPr>
        <w:t>13</w:t>
      </w:r>
    </w:p>
    <w:p>
      <w:pPr>
        <w:pStyle w:val="16"/>
        <w:tabs>
          <w:tab w:val="right" w:leader="dot" w:pos="8296"/>
        </w:tabs>
        <w:spacing w:line="312" w:lineRule="auto"/>
        <w:rPr>
          <w:rFonts w:asciiTheme="minorHAnsi" w:hAnsiTheme="minorHAnsi" w:cstheme="minorBidi"/>
          <w:b w:val="0"/>
          <w:bCs w:val="0"/>
          <w:caps w:val="0"/>
          <w:color w:val="auto"/>
          <w:sz w:val="28"/>
          <w:szCs w:val="28"/>
        </w:rPr>
      </w:pPr>
      <w:r>
        <w:rPr>
          <w:b w:val="0"/>
          <w:bCs w:val="0"/>
          <w:color w:val="auto"/>
        </w:rPr>
        <w:fldChar w:fldCharType="begin"/>
      </w:r>
      <w:r>
        <w:rPr>
          <w:b w:val="0"/>
          <w:bCs w:val="0"/>
          <w:color w:val="auto"/>
        </w:rPr>
        <w:instrText xml:space="preserve"> HYPERLINK \l "_Toc468445345" </w:instrText>
      </w:r>
      <w:r>
        <w:rPr>
          <w:b w:val="0"/>
          <w:bCs w:val="0"/>
          <w:color w:val="auto"/>
        </w:rPr>
        <w:fldChar w:fldCharType="separate"/>
      </w:r>
      <w:r>
        <w:rPr>
          <w:rStyle w:val="27"/>
          <w:rFonts w:hint="eastAsia"/>
          <w:b w:val="0"/>
          <w:bCs w:val="0"/>
          <w:color w:val="auto"/>
          <w:sz w:val="28"/>
          <w:szCs w:val="28"/>
        </w:rPr>
        <w:t>本导则用词说明</w:t>
      </w:r>
      <w:r>
        <w:rPr>
          <w:rFonts w:ascii="Arial" w:hAnsi="Arial" w:cs="Arial"/>
          <w:b w:val="0"/>
          <w:bCs w:val="0"/>
          <w:color w:val="auto"/>
          <w:sz w:val="28"/>
          <w:szCs w:val="28"/>
        </w:rPr>
        <w:t>………………………………………………………</w:t>
      </w:r>
      <w:r>
        <w:rPr>
          <w:rFonts w:ascii="Arial" w:hAnsi="Arial" w:cs="Arial"/>
          <w:b w:val="0"/>
          <w:bCs w:val="0"/>
          <w:color w:val="auto"/>
          <w:sz w:val="28"/>
          <w:szCs w:val="28"/>
        </w:rPr>
        <w:fldChar w:fldCharType="end"/>
      </w:r>
      <w:r>
        <w:rPr>
          <w:rFonts w:hint="eastAsia"/>
          <w:b w:val="0"/>
          <w:bCs w:val="0"/>
          <w:color w:val="auto"/>
          <w:sz w:val="28"/>
          <w:szCs w:val="28"/>
        </w:rPr>
        <w:t>14</w:t>
      </w:r>
    </w:p>
    <w:p>
      <w:pPr>
        <w:pStyle w:val="16"/>
        <w:tabs>
          <w:tab w:val="right" w:leader="dot" w:pos="8296"/>
        </w:tabs>
        <w:spacing w:line="312" w:lineRule="auto"/>
        <w:rPr>
          <w:rStyle w:val="27"/>
          <w:b w:val="0"/>
          <w:bCs w:val="0"/>
          <w:color w:val="auto"/>
          <w:sz w:val="28"/>
          <w:szCs w:val="28"/>
        </w:rPr>
      </w:pPr>
      <w:r>
        <w:rPr>
          <w:b w:val="0"/>
          <w:bCs w:val="0"/>
          <w:color w:val="auto"/>
        </w:rPr>
        <w:fldChar w:fldCharType="begin"/>
      </w:r>
      <w:r>
        <w:rPr>
          <w:b w:val="0"/>
          <w:bCs w:val="0"/>
          <w:color w:val="auto"/>
        </w:rPr>
        <w:instrText xml:space="preserve"> HYPERLINK \l "_Toc468445346" </w:instrText>
      </w:r>
      <w:r>
        <w:rPr>
          <w:b w:val="0"/>
          <w:bCs w:val="0"/>
          <w:color w:val="auto"/>
        </w:rPr>
        <w:fldChar w:fldCharType="separate"/>
      </w:r>
      <w:r>
        <w:rPr>
          <w:rStyle w:val="27"/>
          <w:rFonts w:hint="eastAsia"/>
          <w:b w:val="0"/>
          <w:bCs w:val="0"/>
          <w:color w:val="auto"/>
          <w:sz w:val="28"/>
          <w:szCs w:val="28"/>
        </w:rPr>
        <w:t>引用标准名录</w:t>
      </w:r>
      <w:r>
        <w:rPr>
          <w:rFonts w:ascii="Arial" w:hAnsi="Arial" w:cs="Arial"/>
          <w:b w:val="0"/>
          <w:bCs w:val="0"/>
          <w:color w:val="auto"/>
          <w:sz w:val="28"/>
          <w:szCs w:val="28"/>
        </w:rPr>
        <w:t>…………………………………………………………</w:t>
      </w:r>
      <w:r>
        <w:rPr>
          <w:rFonts w:ascii="Arial" w:hAnsi="Arial" w:cs="Arial"/>
          <w:b w:val="0"/>
          <w:bCs w:val="0"/>
          <w:color w:val="auto"/>
          <w:sz w:val="28"/>
          <w:szCs w:val="28"/>
        </w:rPr>
        <w:fldChar w:fldCharType="end"/>
      </w:r>
      <w:r>
        <w:rPr>
          <w:rFonts w:hint="eastAsia"/>
          <w:b w:val="0"/>
          <w:bCs w:val="0"/>
          <w:color w:val="auto"/>
          <w:sz w:val="28"/>
          <w:szCs w:val="28"/>
        </w:rPr>
        <w:t>15</w:t>
      </w:r>
    </w:p>
    <w:p>
      <w:pPr>
        <w:spacing w:line="312" w:lineRule="auto"/>
        <w:rPr>
          <w:rFonts w:ascii="宋体" w:hAnsi="宋体"/>
          <w:b w:val="0"/>
          <w:bCs w:val="0"/>
          <w:color w:val="auto"/>
          <w:sz w:val="28"/>
          <w:szCs w:val="28"/>
        </w:rPr>
        <w:sectPr>
          <w:pgSz w:w="11906" w:h="16838"/>
          <w:pgMar w:top="1440" w:right="1800" w:bottom="1440" w:left="1800" w:header="851" w:footer="992" w:gutter="0"/>
          <w:cols w:space="425" w:num="1"/>
          <w:docGrid w:type="lines" w:linePitch="312" w:charSpace="0"/>
        </w:sectPr>
      </w:pPr>
      <w:r>
        <w:rPr>
          <w:rFonts w:ascii="宋体" w:hAnsi="宋体"/>
          <w:b w:val="0"/>
          <w:bCs w:val="0"/>
          <w:color w:val="auto"/>
          <w:sz w:val="28"/>
          <w:szCs w:val="28"/>
        </w:rPr>
        <w:fldChar w:fldCharType="end"/>
      </w:r>
    </w:p>
    <w:p>
      <w:pPr>
        <w:jc w:val="center"/>
        <w:rPr>
          <w:rFonts w:ascii="宋体" w:hAnsi="宋体"/>
          <w:b w:val="0"/>
          <w:bCs w:val="0"/>
          <w:color w:val="auto"/>
          <w:sz w:val="32"/>
        </w:rPr>
      </w:pPr>
    </w:p>
    <w:p>
      <w:pPr>
        <w:jc w:val="center"/>
        <w:rPr>
          <w:rFonts w:ascii="宋体" w:hAnsi="宋体"/>
          <w:b w:val="0"/>
          <w:bCs w:val="0"/>
          <w:color w:val="auto"/>
          <w:sz w:val="32"/>
        </w:rPr>
      </w:pPr>
    </w:p>
    <w:p>
      <w:pPr>
        <w:pStyle w:val="2"/>
        <w:spacing w:before="312" w:after="312"/>
        <w:rPr>
          <w:b w:val="0"/>
          <w:bCs w:val="0"/>
          <w:color w:val="auto"/>
        </w:rPr>
      </w:pPr>
      <w:bookmarkStart w:id="2" w:name="_Toc468444607"/>
      <w:bookmarkStart w:id="3" w:name="_Toc468383418"/>
      <w:bookmarkStart w:id="4" w:name="_Toc468383676"/>
      <w:bookmarkStart w:id="5" w:name="_Toc468445262"/>
      <w:bookmarkStart w:id="6" w:name="_Toc468445331"/>
      <w:r>
        <w:rPr>
          <w:b w:val="0"/>
          <w:bCs w:val="0"/>
          <w:color w:val="auto"/>
        </w:rPr>
        <w:t>1</w:t>
      </w:r>
      <w:r>
        <w:rPr>
          <w:rFonts w:hint="eastAsia"/>
          <w:b w:val="0"/>
          <w:bCs w:val="0"/>
          <w:color w:val="auto"/>
        </w:rPr>
        <w:t xml:space="preserve">  总    则</w:t>
      </w:r>
      <w:bookmarkEnd w:id="0"/>
      <w:bookmarkEnd w:id="1"/>
      <w:bookmarkEnd w:id="2"/>
      <w:bookmarkEnd w:id="3"/>
      <w:bookmarkEnd w:id="4"/>
      <w:bookmarkEnd w:id="5"/>
      <w:bookmarkEnd w:id="6"/>
    </w:p>
    <w:p>
      <w:pPr>
        <w:rPr>
          <w:rFonts w:asciiTheme="minorEastAsia" w:hAnsiTheme="minorEastAsia" w:eastAsiaTheme="minorEastAsia" w:cstheme="minorEastAsia"/>
          <w:b w:val="0"/>
          <w:bCs w:val="0"/>
          <w:color w:val="auto"/>
          <w:sz w:val="28"/>
          <w:szCs w:val="28"/>
        </w:rPr>
      </w:pPr>
      <w:bookmarkStart w:id="7" w:name="_Toc408221649"/>
      <w:bookmarkStart w:id="8" w:name="_Toc380134359"/>
      <w:r>
        <w:rPr>
          <w:rFonts w:hint="eastAsia" w:asciiTheme="minorEastAsia" w:hAnsiTheme="minorEastAsia" w:eastAsiaTheme="minorEastAsia" w:cstheme="minorEastAsia"/>
          <w:b w:val="0"/>
          <w:bCs w:val="0"/>
          <w:color w:val="auto"/>
          <w:sz w:val="28"/>
          <w:szCs w:val="28"/>
        </w:rPr>
        <w:t xml:space="preserve">1.0.1  </w:t>
      </w:r>
      <w:r>
        <w:rPr>
          <w:rFonts w:hint="eastAsia" w:asciiTheme="minorEastAsia" w:hAnsiTheme="minorEastAsia" w:eastAsiaTheme="minorEastAsia" w:cstheme="minorEastAsia"/>
          <w:b w:val="0"/>
          <w:bCs w:val="0"/>
          <w:color w:val="auto"/>
          <w:sz w:val="28"/>
          <w:szCs w:val="28"/>
        </w:rPr>
        <w:t>为发展装配式建筑，规范长春市装配式建筑评价,制定本导则。</w:t>
      </w:r>
    </w:p>
    <w:p>
      <w:pPr>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1.0.2  </w:t>
      </w:r>
      <w:r>
        <w:rPr>
          <w:rFonts w:hint="eastAsia" w:asciiTheme="minorEastAsia" w:hAnsiTheme="minorEastAsia" w:eastAsiaTheme="minorEastAsia" w:cstheme="minorEastAsia"/>
          <w:b w:val="0"/>
          <w:bCs w:val="0"/>
          <w:color w:val="auto"/>
          <w:sz w:val="28"/>
          <w:szCs w:val="28"/>
        </w:rPr>
        <w:t>本导则适用于民用建筑装配化程度评价。</w:t>
      </w:r>
    </w:p>
    <w:p>
      <w:pPr>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1.0.3</w:t>
      </w:r>
      <w:r>
        <w:rPr>
          <w:rFonts w:hint="eastAsia" w:asciiTheme="minorEastAsia" w:hAnsiTheme="minorEastAsia" w:eastAsiaTheme="minorEastAsia" w:cstheme="minorEastAsia"/>
          <w:b w:val="0"/>
          <w:bCs w:val="0"/>
          <w:color w:val="auto"/>
          <w:sz w:val="28"/>
          <w:szCs w:val="28"/>
        </w:rPr>
        <w:t xml:space="preserve">  本导则采用装配率评价建筑的装配化程度。</w:t>
      </w:r>
    </w:p>
    <w:p>
      <w:pPr>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 xml:space="preserve">1.0.4  </w:t>
      </w:r>
      <w:r>
        <w:rPr>
          <w:rFonts w:hint="eastAsia" w:asciiTheme="minorEastAsia" w:hAnsiTheme="minorEastAsia" w:eastAsiaTheme="minorEastAsia" w:cstheme="minorEastAsia"/>
          <w:b w:val="0"/>
          <w:bCs w:val="0"/>
          <w:color w:val="auto"/>
          <w:sz w:val="28"/>
          <w:szCs w:val="28"/>
        </w:rPr>
        <w:t>独立的地铁站等装配式地下建筑可参照执行。</w:t>
      </w: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rPr>
          <w:rFonts w:ascii="宋体" w:hAnsi="宋体"/>
          <w:b w:val="0"/>
          <w:bCs w:val="0"/>
          <w:color w:val="auto"/>
          <w:sz w:val="28"/>
          <w:szCs w:val="28"/>
        </w:rPr>
      </w:pPr>
    </w:p>
    <w:p>
      <w:pPr>
        <w:pStyle w:val="2"/>
        <w:spacing w:before="312" w:after="312"/>
        <w:rPr>
          <w:b w:val="0"/>
          <w:bCs w:val="0"/>
          <w:color w:val="auto"/>
        </w:rPr>
      </w:pPr>
      <w:bookmarkStart w:id="9" w:name="_Toc468445263"/>
      <w:bookmarkStart w:id="10" w:name="_Toc468383677"/>
      <w:bookmarkStart w:id="11" w:name="_Toc468445332"/>
      <w:bookmarkStart w:id="12" w:name="_Toc468444608"/>
      <w:bookmarkStart w:id="13" w:name="_Toc468383419"/>
    </w:p>
    <w:p>
      <w:pPr>
        <w:pStyle w:val="2"/>
        <w:spacing w:before="312" w:after="312"/>
        <w:ind w:firstLine="3080" w:firstLineChars="1100"/>
        <w:jc w:val="both"/>
        <w:rPr>
          <w:b w:val="0"/>
          <w:bCs w:val="0"/>
          <w:color w:val="auto"/>
        </w:rPr>
      </w:pPr>
      <w:r>
        <w:rPr>
          <w:b w:val="0"/>
          <w:bCs w:val="0"/>
          <w:color w:val="auto"/>
        </w:rPr>
        <w:t>2</w:t>
      </w:r>
      <w:r>
        <w:rPr>
          <w:rFonts w:hint="eastAsia"/>
          <w:b w:val="0"/>
          <w:bCs w:val="0"/>
          <w:color w:val="auto"/>
        </w:rPr>
        <w:t xml:space="preserve">  术语</w:t>
      </w:r>
      <w:bookmarkEnd w:id="7"/>
      <w:bookmarkEnd w:id="9"/>
      <w:bookmarkEnd w:id="10"/>
      <w:bookmarkEnd w:id="11"/>
      <w:bookmarkEnd w:id="12"/>
      <w:bookmarkEnd w:id="13"/>
      <w:r>
        <w:rPr>
          <w:rFonts w:hint="eastAsia"/>
          <w:b w:val="0"/>
          <w:bCs w:val="0"/>
          <w:color w:val="auto"/>
        </w:rPr>
        <w:t>和符号</w:t>
      </w:r>
    </w:p>
    <w:p>
      <w:pPr>
        <w:ind w:firstLine="3360" w:firstLineChars="1200"/>
        <w:rPr>
          <w:b w:val="0"/>
          <w:bCs w:val="0"/>
          <w:color w:val="auto"/>
          <w:sz w:val="28"/>
          <w:szCs w:val="28"/>
        </w:rPr>
      </w:pPr>
      <w:r>
        <w:rPr>
          <w:rFonts w:hint="eastAsia"/>
          <w:b w:val="0"/>
          <w:bCs w:val="0"/>
          <w:color w:val="auto"/>
          <w:sz w:val="28"/>
          <w:szCs w:val="28"/>
        </w:rPr>
        <w:t>2.1 术语</w:t>
      </w:r>
    </w:p>
    <w:p>
      <w:pPr>
        <w:ind w:firstLine="3920" w:firstLineChars="1400"/>
        <w:rPr>
          <w:b w:val="0"/>
          <w:bCs w:val="0"/>
          <w:color w:val="auto"/>
          <w:sz w:val="28"/>
          <w:szCs w:val="28"/>
        </w:rPr>
      </w:pP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 xml:space="preserve">2.1.1  </w:t>
      </w:r>
      <w:r>
        <w:rPr>
          <w:rFonts w:hint="eastAsia" w:ascii="宋体" w:hAnsi="宋体" w:cs="宋体"/>
          <w:b w:val="0"/>
          <w:bCs w:val="0"/>
          <w:color w:val="auto"/>
          <w:sz w:val="28"/>
          <w:szCs w:val="28"/>
        </w:rPr>
        <w:t>装配式建筑</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装配式建筑是用预制构件部品部件在工地装配而成的建筑。</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 xml:space="preserve">2.1.2  </w:t>
      </w:r>
      <w:r>
        <w:rPr>
          <w:rFonts w:hint="eastAsia" w:ascii="宋体" w:hAnsi="宋体" w:cs="宋体"/>
          <w:b w:val="0"/>
          <w:bCs w:val="0"/>
          <w:color w:val="auto"/>
          <w:sz w:val="28"/>
          <w:szCs w:val="28"/>
        </w:rPr>
        <w:t>装配率</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单体建筑室外地坪以上的主体结构、围护墙和内隔墙、装修和设备及管线系统等采用预制部品部件的综合比例。</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 xml:space="preserve">2.1.3  </w:t>
      </w:r>
      <w:r>
        <w:rPr>
          <w:rFonts w:hint="eastAsia" w:ascii="宋体" w:hAnsi="宋体" w:cs="宋体"/>
          <w:b w:val="0"/>
          <w:bCs w:val="0"/>
          <w:color w:val="auto"/>
          <w:sz w:val="28"/>
          <w:szCs w:val="28"/>
        </w:rPr>
        <w:t>部件</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在工厂生产或现场预先生产制做完成，构成建筑结构系统的结构构件及其他构件的统称。</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2.1.4  部品</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由工厂生产，构成外围护系统、设备及管线系统、内装系统的建筑单一产品或复合产品组装而成的功能单元的统称。</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2.1.5  全装修</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建筑功能空间的固定面装修和设备设施安装全部完成，达到建筑使用功能和建筑性能的基本要求。</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2.1.6  装配式装修</w:t>
      </w:r>
    </w:p>
    <w:p>
      <w:pPr>
        <w:adjustRightInd w:val="0"/>
        <w:snapToGrid w:val="0"/>
        <w:ind w:firstLine="480"/>
        <w:rPr>
          <w:rFonts w:ascii="宋体" w:hAnsi="宋体" w:cs="宋体"/>
          <w:b w:val="0"/>
          <w:bCs w:val="0"/>
          <w:color w:val="auto"/>
          <w:sz w:val="28"/>
          <w:szCs w:val="28"/>
        </w:rPr>
      </w:pPr>
      <w:r>
        <w:rPr>
          <w:rFonts w:hint="eastAsia" w:ascii="宋体" w:hAnsi="宋体" w:cs="宋体"/>
          <w:b w:val="0"/>
          <w:bCs w:val="0"/>
          <w:color w:val="auto"/>
          <w:sz w:val="28"/>
          <w:szCs w:val="28"/>
        </w:rPr>
        <w:t>采用干式工法，将工厂生产的标准化内装部品在现场进行组合安装的装修方式。</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2.1.7干式工法</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采用干作业施工的建造方法。</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2.1.8</w:t>
      </w:r>
      <w:r>
        <w:rPr>
          <w:rFonts w:hint="eastAsia" w:ascii="宋体" w:hAnsi="宋体" w:cs="宋体"/>
          <w:b w:val="0"/>
          <w:bCs w:val="0"/>
          <w:color w:val="auto"/>
          <w:sz w:val="28"/>
          <w:szCs w:val="28"/>
        </w:rPr>
        <w:t>集成式厨房</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地面、吊顶、墙面、厨柜、厨房设备及管线系统等通过设计集成、工厂生产，采用干式工法装配而成的厨房。</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2.1.9</w:t>
      </w:r>
      <w:r>
        <w:rPr>
          <w:rFonts w:hint="eastAsia" w:ascii="宋体" w:hAnsi="宋体" w:cs="宋体"/>
          <w:b w:val="0"/>
          <w:bCs w:val="0"/>
          <w:color w:val="auto"/>
          <w:sz w:val="28"/>
          <w:szCs w:val="28"/>
        </w:rPr>
        <w:t xml:space="preserve"> 集成式卫生间</w:t>
      </w:r>
    </w:p>
    <w:p>
      <w:pPr>
        <w:adjustRightInd w:val="0"/>
        <w:snapToGrid w:val="0"/>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地面、吊顶、墙板和洁具设备及管线系统等通过设计集成、工厂生产，采用干式工法装配而成的卫生间。</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2.1.10</w:t>
      </w:r>
      <w:r>
        <w:rPr>
          <w:rFonts w:hint="eastAsia" w:ascii="宋体" w:hAnsi="宋体" w:cs="宋体"/>
          <w:b w:val="0"/>
          <w:bCs w:val="0"/>
          <w:color w:val="auto"/>
          <w:sz w:val="28"/>
          <w:szCs w:val="28"/>
        </w:rPr>
        <w:t>管线分离</w:t>
      </w:r>
    </w:p>
    <w:p>
      <w:pPr>
        <w:adjustRightInd w:val="0"/>
        <w:snapToGrid w:val="0"/>
        <w:ind w:firstLine="481"/>
        <w:rPr>
          <w:rFonts w:ascii="宋体" w:hAnsi="宋体" w:cs="宋体"/>
          <w:b w:val="0"/>
          <w:bCs w:val="0"/>
          <w:color w:val="auto"/>
          <w:sz w:val="28"/>
          <w:szCs w:val="28"/>
        </w:rPr>
      </w:pPr>
      <w:r>
        <w:rPr>
          <w:rFonts w:hint="eastAsia" w:ascii="宋体" w:hAnsi="宋体" w:cs="宋体"/>
          <w:b w:val="0"/>
          <w:bCs w:val="0"/>
          <w:color w:val="auto"/>
          <w:sz w:val="28"/>
          <w:szCs w:val="28"/>
        </w:rPr>
        <w:t>将设备与管线系统设置在结构系统之外的方式，包括裸露于室内以及敷设在架空层、吊顶内和非承重墙空腔部位的管线。</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2.1.11</w:t>
      </w:r>
      <w:r>
        <w:rPr>
          <w:rFonts w:hint="eastAsia" w:ascii="宋体" w:hAnsi="宋体" w:cs="宋体"/>
          <w:b w:val="0"/>
          <w:bCs w:val="0"/>
          <w:color w:val="auto"/>
          <w:sz w:val="28"/>
          <w:szCs w:val="28"/>
        </w:rPr>
        <w:t>建筑信息模型（BIM）</w:t>
      </w:r>
    </w:p>
    <w:p>
      <w:pPr>
        <w:adjustRightInd w:val="0"/>
        <w:snapToGrid w:val="0"/>
        <w:ind w:firstLine="560" w:firstLineChars="200"/>
        <w:rPr>
          <w:rFonts w:ascii="宋体" w:hAnsi="宋体" w:cs="宋体"/>
          <w:b w:val="0"/>
          <w:bCs w:val="0"/>
          <w:color w:val="auto"/>
          <w:sz w:val="28"/>
          <w:szCs w:val="28"/>
          <w:shd w:val="clear" w:color="auto" w:fill="FFFFFF"/>
        </w:rPr>
      </w:pPr>
      <w:r>
        <w:rPr>
          <w:rFonts w:hint="eastAsia" w:ascii="宋体" w:hAnsi="宋体" w:cs="宋体"/>
          <w:b w:val="0"/>
          <w:bCs w:val="0"/>
          <w:color w:val="auto"/>
          <w:sz w:val="28"/>
          <w:szCs w:val="28"/>
          <w:shd w:val="clear" w:color="auto" w:fill="FFFFFF"/>
        </w:rPr>
        <w:t>在项目策划、建设工程全生命周期内，对其物理和功能特性进行数字化表达</w:t>
      </w:r>
      <w:r>
        <w:rPr>
          <w:rFonts w:hint="eastAsia" w:ascii="宋体" w:hAnsi="宋体" w:cs="宋体"/>
          <w:b w:val="0"/>
          <w:bCs w:val="0"/>
          <w:color w:val="auto"/>
          <w:sz w:val="28"/>
          <w:szCs w:val="28"/>
          <w:shd w:val="clear" w:color="auto" w:fill="FFFFFF"/>
        </w:rPr>
        <w:t>，并依此设计、施工、运营的过</w:t>
      </w:r>
      <w:r>
        <w:rPr>
          <w:rFonts w:hint="eastAsia" w:ascii="宋体" w:hAnsi="宋体" w:cs="宋体"/>
          <w:b w:val="0"/>
          <w:bCs w:val="0"/>
          <w:color w:val="auto"/>
          <w:sz w:val="28"/>
          <w:szCs w:val="28"/>
          <w:shd w:val="clear" w:color="auto" w:fill="FFFFFF"/>
        </w:rPr>
        <w:t>程和结果的总称。</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2.1.12</w:t>
      </w:r>
      <w:r>
        <w:rPr>
          <w:rFonts w:hint="eastAsia" w:ascii="宋体" w:hAnsi="宋体" w:cs="宋体"/>
          <w:b w:val="0"/>
          <w:bCs w:val="0"/>
          <w:color w:val="auto"/>
          <w:sz w:val="28"/>
          <w:szCs w:val="28"/>
        </w:rPr>
        <w:t>保温免拆外模板剪力墙体系</w:t>
      </w:r>
    </w:p>
    <w:p>
      <w:pPr>
        <w:adjustRightInd w:val="0"/>
        <w:snapToGrid w:val="0"/>
        <w:ind w:firstLine="584" w:firstLineChars="200"/>
        <w:jc w:val="left"/>
        <w:rPr>
          <w:rFonts w:ascii="宋体" w:hAnsi="宋体" w:cs="宋体"/>
          <w:b w:val="0"/>
          <w:bCs w:val="0"/>
          <w:color w:val="auto"/>
          <w:sz w:val="28"/>
          <w:szCs w:val="28"/>
          <w:highlight w:val="yellow"/>
        </w:rPr>
      </w:pPr>
      <w:r>
        <w:rPr>
          <w:rFonts w:hint="eastAsia" w:ascii="宋体" w:hAnsi="宋体" w:cs="宋体"/>
          <w:b w:val="0"/>
          <w:bCs w:val="0"/>
          <w:color w:val="auto"/>
          <w:spacing w:val="6"/>
          <w:sz w:val="28"/>
          <w:szCs w:val="28"/>
        </w:rPr>
        <w:t>以预制保温免拆复合板为外模板，常规模板为内模板，中间绑扎钢筋、浇筑混凝土，并通过连接件加强保温免拆外模板与混凝土墙体间的连接，形成无空腔的复合保温构造；在该外保温做法基础上，完成砂浆找平、饰面层等做法后，总称为保温免拆外模板体系。</w:t>
      </w:r>
      <w:r>
        <w:rPr>
          <w:rFonts w:hint="eastAsia" w:ascii="宋体" w:hAnsi="宋体" w:cs="宋体"/>
          <w:b w:val="0"/>
          <w:bCs w:val="0"/>
          <w:color w:val="auto"/>
          <w:sz w:val="28"/>
          <w:szCs w:val="28"/>
        </w:rPr>
        <w:t>由保温层和加强层复合而成，经工厂化预制，在现浇混凝土剪力墙施工中起外摸板作用，使用中起保温作用的复合保温板。</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2.1.13免抹灰非承重围护墙体</w:t>
      </w:r>
    </w:p>
    <w:p>
      <w:pPr>
        <w:adjustRightInd w:val="0"/>
        <w:snapToGrid w:val="0"/>
        <w:ind w:firstLine="481"/>
        <w:rPr>
          <w:rFonts w:ascii="宋体" w:hAnsi="宋体" w:cs="宋体"/>
          <w:b w:val="0"/>
          <w:bCs w:val="0"/>
          <w:color w:val="auto"/>
          <w:sz w:val="28"/>
          <w:szCs w:val="28"/>
        </w:rPr>
      </w:pPr>
      <w:r>
        <w:rPr>
          <w:rFonts w:hint="eastAsia" w:ascii="宋体" w:hAnsi="宋体" w:cs="宋体"/>
          <w:b w:val="0"/>
          <w:bCs w:val="0"/>
          <w:color w:val="auto"/>
          <w:sz w:val="28"/>
          <w:szCs w:val="28"/>
        </w:rPr>
        <w:t>采用工厂化生产、现场直接薄灰缝砌筑免抹灰的内隔墙。如经配块设计的新型加气混凝土砌块、轻集料连锁砌块等。</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2.1.14  延性墙板</w:t>
      </w:r>
    </w:p>
    <w:p>
      <w:pPr>
        <w:adjustRightInd w:val="0"/>
        <w:snapToGrid w:val="0"/>
        <w:ind w:firstLine="481"/>
        <w:rPr>
          <w:rFonts w:ascii="宋体" w:hAnsi="宋体" w:cs="宋体"/>
          <w:b w:val="0"/>
          <w:bCs w:val="0"/>
          <w:color w:val="auto"/>
          <w:sz w:val="28"/>
          <w:szCs w:val="28"/>
        </w:rPr>
      </w:pPr>
      <w:r>
        <w:rPr>
          <w:rFonts w:hint="eastAsia" w:ascii="宋体" w:hAnsi="宋体" w:cs="宋体"/>
          <w:b w:val="0"/>
          <w:bCs w:val="0"/>
          <w:color w:val="auto"/>
          <w:sz w:val="28"/>
          <w:szCs w:val="28"/>
        </w:rPr>
        <w:t>具有良好延性和抗震性能的墙板，包括钢管束剪力墙、钢板剪力墙、组合钢板剪力墙、无粘结内藏钢板支撑墙板、带竖缝混凝土剪力墙等。</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2.1.15  内隔墙与管线一体化</w:t>
      </w:r>
    </w:p>
    <w:p>
      <w:pPr>
        <w:adjustRightInd w:val="0"/>
        <w:snapToGrid w:val="0"/>
        <w:ind w:firstLine="560"/>
        <w:rPr>
          <w:rFonts w:ascii="宋体" w:hAnsi="宋体" w:cs="宋体"/>
          <w:b w:val="0"/>
          <w:bCs w:val="0"/>
          <w:color w:val="auto"/>
          <w:sz w:val="28"/>
          <w:szCs w:val="28"/>
        </w:rPr>
      </w:pPr>
      <w:r>
        <w:rPr>
          <w:rFonts w:hint="eastAsia" w:ascii="宋体" w:hAnsi="宋体" w:cs="宋体"/>
          <w:b w:val="0"/>
          <w:bCs w:val="0"/>
          <w:color w:val="auto"/>
          <w:sz w:val="28"/>
          <w:szCs w:val="28"/>
        </w:rPr>
        <w:t>在设计阶段进行一体化设计，工厂生产过程中将与内隔墙相关的管线（槽、孔）和埋件在内隔墙中完成。</w:t>
      </w:r>
    </w:p>
    <w:p>
      <w:pPr>
        <w:adjustRightInd w:val="0"/>
        <w:snapToGrid w:val="0"/>
        <w:rPr>
          <w:rFonts w:ascii="宋体" w:hAnsi="宋体" w:cs="宋体"/>
          <w:b w:val="0"/>
          <w:bCs w:val="0"/>
          <w:color w:val="auto"/>
          <w:sz w:val="28"/>
          <w:szCs w:val="28"/>
        </w:rPr>
      </w:pPr>
      <w:r>
        <w:rPr>
          <w:rFonts w:hint="eastAsia" w:ascii="宋体" w:hAnsi="宋体" w:cs="宋体"/>
          <w:b w:val="0"/>
          <w:bCs w:val="0"/>
          <w:color w:val="auto"/>
          <w:sz w:val="28"/>
          <w:szCs w:val="28"/>
        </w:rPr>
        <w:t>2.1.16 钢筋加工配送技术</w:t>
      </w:r>
    </w:p>
    <w:p>
      <w:pPr>
        <w:adjustRightInd w:val="0"/>
        <w:snapToGrid w:val="0"/>
        <w:rPr>
          <w:rFonts w:asciiTheme="minorEastAsia" w:hAnsiTheme="minorEastAsia" w:eastAsiaTheme="minorEastAsia" w:cstheme="minorEastAsia"/>
          <w:b w:val="0"/>
          <w:bCs w:val="0"/>
          <w:color w:val="auto"/>
        </w:rPr>
      </w:pPr>
      <w:r>
        <w:rPr>
          <w:rFonts w:hint="eastAsia" w:ascii="宋体" w:hAnsi="宋体" w:cs="宋体"/>
          <w:b w:val="0"/>
          <w:bCs w:val="0"/>
          <w:color w:val="auto"/>
          <w:sz w:val="28"/>
          <w:szCs w:val="28"/>
        </w:rPr>
        <w:t xml:space="preserve">   </w:t>
      </w:r>
      <w:r>
        <w:rPr>
          <w:rFonts w:hint="eastAsia" w:asciiTheme="minorEastAsia" w:hAnsiTheme="minorEastAsia" w:eastAsiaTheme="minorEastAsia" w:cstheme="minorEastAsia"/>
          <w:b w:val="0"/>
          <w:bCs w:val="0"/>
          <w:color w:val="auto"/>
          <w:sz w:val="28"/>
          <w:szCs w:val="28"/>
        </w:rPr>
        <w:t xml:space="preserve"> 组合成型钢筋制品、钢筋网片、钢筋笼等钢筋工厂化加工、配送到工地，在现场组合铺设技术。</w:t>
      </w:r>
    </w:p>
    <w:p>
      <w:pPr>
        <w:adjustRightInd w:val="0"/>
        <w:snapToGrid w:val="0"/>
        <w:ind w:firstLine="560"/>
        <w:rPr>
          <w:rFonts w:ascii="宋体" w:hAnsi="宋体" w:cs="宋体"/>
          <w:b w:val="0"/>
          <w:bCs w:val="0"/>
          <w:color w:val="auto"/>
          <w:sz w:val="28"/>
          <w:szCs w:val="28"/>
        </w:rPr>
      </w:pPr>
    </w:p>
    <w:p>
      <w:pPr>
        <w:adjustRightInd w:val="0"/>
        <w:snapToGrid w:val="0"/>
        <w:ind w:firstLine="3080" w:firstLineChars="1100"/>
        <w:rPr>
          <w:rFonts w:ascii="宋体" w:hAnsi="宋体" w:cs="宋体"/>
          <w:b w:val="0"/>
          <w:bCs w:val="0"/>
          <w:color w:val="auto"/>
          <w:sz w:val="28"/>
          <w:szCs w:val="28"/>
        </w:rPr>
      </w:pPr>
      <w:r>
        <w:rPr>
          <w:rFonts w:hint="eastAsia" w:ascii="宋体" w:hAnsi="宋体" w:cs="宋体"/>
          <w:b w:val="0"/>
          <w:bCs w:val="0"/>
          <w:color w:val="auto"/>
          <w:sz w:val="28"/>
          <w:szCs w:val="28"/>
        </w:rPr>
        <w:t>2.2 符号</w:t>
      </w:r>
    </w:p>
    <w:p>
      <w:pPr>
        <w:adjustRightInd w:val="0"/>
        <w:snapToGrid w:val="0"/>
        <w:rPr>
          <w:rFonts w:ascii="宋体" w:hAnsi="宋体" w:cs="宋体"/>
          <w:b w:val="0"/>
          <w:bCs w:val="0"/>
          <w:color w:val="auto"/>
          <w:sz w:val="28"/>
          <w:szCs w:val="28"/>
        </w:rPr>
      </w:pPr>
    </w:p>
    <w:p>
      <w:pPr>
        <w:rPr>
          <w:b w:val="0"/>
          <w:bCs w:val="0"/>
          <w:color w:val="auto"/>
        </w:rPr>
      </w:pPr>
      <w:r>
        <w:rPr>
          <w:rFonts w:hint="eastAsia" w:ascii="宋体" w:hAnsi="宋体" w:cs="宋体"/>
          <w:b w:val="0"/>
          <w:bCs w:val="0"/>
          <w:i/>
          <w:iCs/>
          <w:color w:val="auto"/>
          <w:sz w:val="28"/>
          <w:szCs w:val="28"/>
        </w:rPr>
        <w:t>P</w:t>
      </w:r>
      <w:r>
        <w:rPr>
          <w:rFonts w:hint="eastAsia" w:ascii="宋体" w:hAnsi="宋体" w:cs="宋体"/>
          <w:b w:val="0"/>
          <w:bCs w:val="0"/>
          <w:color w:val="auto"/>
          <w:sz w:val="28"/>
          <w:szCs w:val="28"/>
        </w:rPr>
        <w:t>——装配率</w:t>
      </w:r>
      <w:r>
        <w:rPr>
          <w:rFonts w:hint="eastAsia" w:ascii="宋体" w:hAnsi="宋体"/>
          <w:b w:val="0"/>
          <w:bCs w:val="0"/>
          <w:color w:val="auto"/>
          <w:sz w:val="28"/>
          <w:szCs w:val="28"/>
        </w:rPr>
        <w:t>；</w:t>
      </w:r>
    </w:p>
    <w:p>
      <w:pPr>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1</w:t>
      </w:r>
      <w:r>
        <w:rPr>
          <w:rFonts w:hint="eastAsia" w:ascii="宋体" w:hAnsi="宋体" w:cs="宋体"/>
          <w:b w:val="0"/>
          <w:bCs w:val="0"/>
          <w:color w:val="auto"/>
          <w:sz w:val="28"/>
          <w:szCs w:val="28"/>
        </w:rPr>
        <w:t>——主体结构指标实际得分值；</w:t>
      </w:r>
    </w:p>
    <w:p>
      <w:pPr>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2</w:t>
      </w:r>
      <w:r>
        <w:rPr>
          <w:rFonts w:hint="eastAsia" w:ascii="宋体" w:hAnsi="宋体" w:cs="宋体"/>
          <w:b w:val="0"/>
          <w:bCs w:val="0"/>
          <w:color w:val="auto"/>
          <w:sz w:val="28"/>
          <w:szCs w:val="28"/>
        </w:rPr>
        <w:t>——围护墙和内隔墙指标实际得分值；</w:t>
      </w:r>
    </w:p>
    <w:p>
      <w:pPr>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3</w:t>
      </w:r>
      <w:r>
        <w:rPr>
          <w:rFonts w:hint="eastAsia" w:ascii="宋体" w:hAnsi="宋体" w:cs="宋体"/>
          <w:b w:val="0"/>
          <w:bCs w:val="0"/>
          <w:color w:val="auto"/>
          <w:sz w:val="28"/>
          <w:szCs w:val="28"/>
        </w:rPr>
        <w:t>——装修和设备管线指标实际得分值；</w:t>
      </w:r>
    </w:p>
    <w:p>
      <w:pPr>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4</w:t>
      </w:r>
      <w:r>
        <w:rPr>
          <w:rFonts w:hint="eastAsia" w:ascii="宋体" w:hAnsi="宋体" w:cs="宋体"/>
          <w:b w:val="0"/>
          <w:bCs w:val="0"/>
          <w:color w:val="auto"/>
          <w:sz w:val="28"/>
          <w:szCs w:val="28"/>
        </w:rPr>
        <w:t>——评价项目中缺少的评价项分值总和；</w:t>
      </w:r>
    </w:p>
    <w:p>
      <w:pPr>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j</w:t>
      </w:r>
      <w:r>
        <w:rPr>
          <w:rFonts w:hint="eastAsia" w:ascii="宋体" w:hAnsi="宋体" w:cs="宋体"/>
          <w:b w:val="0"/>
          <w:bCs w:val="0"/>
          <w:color w:val="auto"/>
          <w:sz w:val="28"/>
          <w:szCs w:val="28"/>
        </w:rPr>
        <w:t>——装配式建筑加分表中加分项得分值总和；</w:t>
      </w:r>
    </w:p>
    <w:p>
      <w:pPr>
        <w:adjustRightInd w:val="0"/>
        <w:snapToGrid w:val="0"/>
        <w:rPr>
          <w:rFonts w:ascii="宋体" w:hAnsi="宋体" w:cs="宋体"/>
          <w:b w:val="0"/>
          <w:bCs w:val="0"/>
          <w:color w:val="auto"/>
          <w:sz w:val="28"/>
          <w:szCs w:val="28"/>
        </w:rPr>
      </w:pPr>
      <w:r>
        <w:rPr>
          <w:rFonts w:hint="eastAsia" w:ascii="宋体" w:hAnsi="宋体" w:cs="宋体"/>
          <w:b w:val="0"/>
          <w:bCs w:val="0"/>
          <w:i/>
          <w:color w:val="auto"/>
          <w:sz w:val="28"/>
          <w:szCs w:val="28"/>
        </w:rPr>
        <w:t>q</w:t>
      </w:r>
      <w:r>
        <w:rPr>
          <w:rFonts w:hint="eastAsia" w:ascii="宋体" w:hAnsi="宋体" w:cs="宋体"/>
          <w:b w:val="0"/>
          <w:bCs w:val="0"/>
          <w:color w:val="auto"/>
          <w:sz w:val="28"/>
          <w:szCs w:val="28"/>
          <w:vertAlign w:val="subscript"/>
        </w:rPr>
        <w:t>1a</w:t>
      </w:r>
      <w:r>
        <w:rPr>
          <w:rFonts w:hint="eastAsia" w:ascii="宋体" w:hAnsi="宋体" w:cs="宋体"/>
          <w:b w:val="0"/>
          <w:bCs w:val="0"/>
          <w:color w:val="auto"/>
          <w:sz w:val="28"/>
          <w:szCs w:val="28"/>
        </w:rPr>
        <w:t>——柱、支撑、承重墙等主体结构竖向构件中预制部品部件的应用比例；</w:t>
      </w:r>
    </w:p>
    <w:p>
      <w:pPr>
        <w:rPr>
          <w:rFonts w:ascii="宋体" w:hAnsi="宋体" w:cs="宋体"/>
          <w:b w:val="0"/>
          <w:bCs w:val="0"/>
          <w:color w:val="auto"/>
          <w:sz w:val="28"/>
          <w:szCs w:val="28"/>
        </w:rPr>
      </w:pPr>
      <w:r>
        <w:rPr>
          <w:rFonts w:hint="eastAsia" w:ascii="宋体" w:hAnsi="宋体" w:cs="宋体"/>
          <w:b w:val="0"/>
          <w:bCs w:val="0"/>
          <w:i/>
          <w:color w:val="auto"/>
          <w:sz w:val="28"/>
          <w:szCs w:val="28"/>
        </w:rPr>
        <w:t>V</w:t>
      </w:r>
      <w:r>
        <w:rPr>
          <w:rFonts w:hint="eastAsia" w:ascii="宋体" w:hAnsi="宋体" w:cs="宋体"/>
          <w:b w:val="0"/>
          <w:bCs w:val="0"/>
          <w:color w:val="auto"/>
          <w:sz w:val="28"/>
          <w:szCs w:val="28"/>
          <w:vertAlign w:val="subscript"/>
        </w:rPr>
        <w:t>1</w:t>
      </w:r>
      <w:r>
        <w:rPr>
          <w:rFonts w:hint="eastAsia" w:ascii="宋体" w:hAnsi="宋体" w:cs="宋体"/>
          <w:b w:val="0"/>
          <w:bCs w:val="0"/>
          <w:color w:val="auto"/>
          <w:sz w:val="28"/>
          <w:szCs w:val="28"/>
        </w:rPr>
        <w:t>——</w:t>
      </w:r>
      <w:r>
        <w:rPr>
          <w:rFonts w:hint="eastAsia" w:ascii="宋体" w:hAnsi="宋体" w:cs="宋体"/>
          <w:b w:val="0"/>
          <w:bCs w:val="0"/>
          <w:color w:val="auto"/>
          <w:sz w:val="28"/>
          <w:szCs w:val="28"/>
        </w:rPr>
        <w:t>柱、支撑、承重墙等主体结构竖向构件中预制部</w:t>
      </w:r>
      <w:r>
        <w:rPr>
          <w:rFonts w:ascii="宋体" w:hAnsi="宋体" w:cs="宋体"/>
          <w:b w:val="0"/>
          <w:bCs w:val="0"/>
          <w:color w:val="auto"/>
          <w:sz w:val="28"/>
          <w:szCs w:val="28"/>
        </w:rPr>
        <w:t>品</w:t>
      </w:r>
      <w:r>
        <w:rPr>
          <w:rFonts w:hint="eastAsia" w:ascii="宋体" w:hAnsi="宋体" w:cs="宋体"/>
          <w:b w:val="0"/>
          <w:bCs w:val="0"/>
          <w:color w:val="auto"/>
          <w:sz w:val="28"/>
          <w:szCs w:val="28"/>
        </w:rPr>
        <w:t>部件混凝土体积之和；</w:t>
      </w:r>
    </w:p>
    <w:p>
      <w:pPr>
        <w:rPr>
          <w:rFonts w:ascii="宋体" w:hAnsi="宋体" w:cs="宋体"/>
          <w:b w:val="0"/>
          <w:bCs w:val="0"/>
          <w:color w:val="auto"/>
          <w:sz w:val="28"/>
          <w:szCs w:val="28"/>
        </w:rPr>
      </w:pPr>
      <w:r>
        <w:rPr>
          <w:rFonts w:hint="eastAsia" w:ascii="宋体" w:hAnsi="宋体" w:cs="宋体"/>
          <w:b w:val="0"/>
          <w:bCs w:val="0"/>
          <w:i/>
          <w:color w:val="auto"/>
          <w:sz w:val="28"/>
          <w:szCs w:val="28"/>
        </w:rPr>
        <w:t>V</w:t>
      </w:r>
      <w:r>
        <w:rPr>
          <w:rFonts w:hint="eastAsia" w:ascii="宋体" w:hAnsi="宋体" w:cs="宋体"/>
          <w:b w:val="0"/>
          <w:bCs w:val="0"/>
          <w:color w:val="auto"/>
          <w:sz w:val="28"/>
          <w:szCs w:val="28"/>
        </w:rPr>
        <w:t>——柱、支撑、承重墙等主体结构竖向构件混凝土总体积；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1b</w:t>
      </w:r>
      <w:r>
        <w:rPr>
          <w:rFonts w:hint="eastAsia" w:ascii="宋体" w:hAnsi="宋体"/>
          <w:b w:val="0"/>
          <w:bCs w:val="0"/>
          <w:color w:val="auto"/>
          <w:sz w:val="28"/>
          <w:szCs w:val="28"/>
        </w:rPr>
        <w:t>——梁、板、楼梯、阳台、空调板等构件中预制部品部件的应用比例；</w:t>
      </w:r>
    </w:p>
    <w:p>
      <w:pPr>
        <w:adjustRightInd w:val="0"/>
        <w:snapToGrid w:val="0"/>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1a</w:t>
      </w:r>
      <w:r>
        <w:rPr>
          <w:rFonts w:hint="eastAsia" w:ascii="宋体" w:hAnsi="宋体"/>
          <w:b w:val="0"/>
          <w:bCs w:val="0"/>
          <w:color w:val="auto"/>
          <w:sz w:val="28"/>
          <w:szCs w:val="28"/>
        </w:rPr>
        <w:t>——各楼层梁、板、楼梯、阳台、空调板等预制部品部件的水平投影面积之和；</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rPr>
        <w:t>——各楼层建筑平面总面积；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2a</w:t>
      </w:r>
      <w:r>
        <w:rPr>
          <w:rFonts w:hint="eastAsia" w:ascii="宋体" w:hAnsi="宋体"/>
          <w:b w:val="0"/>
          <w:bCs w:val="0"/>
          <w:color w:val="auto"/>
          <w:sz w:val="28"/>
          <w:szCs w:val="28"/>
        </w:rPr>
        <w:t>——非承重围护墙中非砌筑墙体的应用比例；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2a</w:t>
      </w:r>
      <w:r>
        <w:rPr>
          <w:rFonts w:hint="eastAsia" w:ascii="宋体" w:hAnsi="宋体"/>
          <w:b w:val="0"/>
          <w:bCs w:val="0"/>
          <w:color w:val="auto"/>
          <w:sz w:val="28"/>
          <w:szCs w:val="28"/>
        </w:rPr>
        <w:t>——各楼层非承重围护墙中非砌筑墙体的外表面积之和；</w:t>
      </w:r>
    </w:p>
    <w:p>
      <w:pPr>
        <w:adjustRightInd w:val="0"/>
        <w:snapToGrid w:val="0"/>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w1</w:t>
      </w:r>
      <w:r>
        <w:rPr>
          <w:rFonts w:hint="eastAsia" w:ascii="宋体" w:hAnsi="宋体"/>
          <w:b w:val="0"/>
          <w:bCs w:val="0"/>
          <w:color w:val="auto"/>
          <w:sz w:val="28"/>
          <w:szCs w:val="28"/>
        </w:rPr>
        <w:t>——各楼层非承重围护墙外表面总面积；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2b</w:t>
      </w:r>
      <w:r>
        <w:rPr>
          <w:rFonts w:hint="eastAsia" w:ascii="宋体" w:hAnsi="宋体"/>
          <w:b w:val="0"/>
          <w:bCs w:val="0"/>
          <w:color w:val="auto"/>
          <w:sz w:val="28"/>
          <w:szCs w:val="28"/>
        </w:rPr>
        <w:t>——围护墙采用墙体、保温、装饰一体化的应用比例；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2b</w:t>
      </w:r>
      <w:r>
        <w:rPr>
          <w:rFonts w:hint="eastAsia" w:ascii="宋体" w:hAnsi="宋体"/>
          <w:b w:val="0"/>
          <w:bCs w:val="0"/>
          <w:color w:val="auto"/>
          <w:sz w:val="28"/>
          <w:szCs w:val="28"/>
        </w:rPr>
        <w:t>——各楼层围护墙采用墙体、保温、装饰一体化墙体的外表面积之和；</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2c</w:t>
      </w:r>
      <w:r>
        <w:rPr>
          <w:rFonts w:hint="eastAsia" w:ascii="宋体" w:hAnsi="宋体"/>
          <w:b w:val="0"/>
          <w:bCs w:val="0"/>
          <w:color w:val="auto"/>
          <w:sz w:val="28"/>
          <w:szCs w:val="28"/>
        </w:rPr>
        <w:t>——内隔墙中非砌筑（免抹灰）墙体的应用比例；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2c</w:t>
      </w:r>
      <w:r>
        <w:rPr>
          <w:rFonts w:hint="eastAsia" w:ascii="宋体" w:hAnsi="宋体"/>
          <w:b w:val="0"/>
          <w:bCs w:val="0"/>
          <w:color w:val="auto"/>
          <w:sz w:val="28"/>
          <w:szCs w:val="28"/>
        </w:rPr>
        <w:t>——各楼层内隔墙中非砌筑（免抹灰）墙体的墙面面积之和；</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w3</w:t>
      </w:r>
      <w:r>
        <w:rPr>
          <w:rFonts w:hint="eastAsia" w:ascii="宋体" w:hAnsi="宋体"/>
          <w:b w:val="0"/>
          <w:bCs w:val="0"/>
          <w:color w:val="auto"/>
          <w:sz w:val="28"/>
          <w:szCs w:val="28"/>
        </w:rPr>
        <w:t>——各楼层内隔墙墙面总面积；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2d</w:t>
      </w:r>
      <w:r>
        <w:rPr>
          <w:rFonts w:hint="eastAsia" w:ascii="宋体" w:hAnsi="宋体"/>
          <w:b w:val="0"/>
          <w:bCs w:val="0"/>
          <w:color w:val="auto"/>
          <w:sz w:val="28"/>
          <w:szCs w:val="28"/>
        </w:rPr>
        <w:t>——内隔墙采用墙体、管线、装修一体化的应用比例；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2d</w:t>
      </w:r>
      <w:r>
        <w:rPr>
          <w:rFonts w:hint="eastAsia" w:ascii="宋体" w:hAnsi="宋体"/>
          <w:b w:val="0"/>
          <w:bCs w:val="0"/>
          <w:color w:val="auto"/>
          <w:sz w:val="28"/>
          <w:szCs w:val="28"/>
        </w:rPr>
        <w:t>——各楼层内隔墙采用墙体、管线、装修一体化的墙面面积之和；</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3a</w:t>
      </w:r>
      <w:r>
        <w:rPr>
          <w:rFonts w:hint="eastAsia" w:ascii="宋体" w:hAnsi="宋体"/>
          <w:b w:val="0"/>
          <w:bCs w:val="0"/>
          <w:color w:val="auto"/>
          <w:sz w:val="28"/>
          <w:szCs w:val="28"/>
        </w:rPr>
        <w:t>——干式工法楼面、地面的应用比例；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3a</w:t>
      </w:r>
      <w:r>
        <w:rPr>
          <w:rFonts w:hint="eastAsia" w:ascii="宋体" w:hAnsi="宋体"/>
          <w:b w:val="0"/>
          <w:bCs w:val="0"/>
          <w:color w:val="auto"/>
          <w:sz w:val="28"/>
          <w:szCs w:val="28"/>
        </w:rPr>
        <w:t>——各楼层采用干式工法楼面、地面水平投影面积之和；</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3b</w:t>
      </w:r>
      <w:r>
        <w:rPr>
          <w:rFonts w:hint="eastAsia" w:ascii="宋体" w:hAnsi="宋体"/>
          <w:b w:val="0"/>
          <w:bCs w:val="0"/>
          <w:color w:val="auto"/>
          <w:sz w:val="28"/>
          <w:szCs w:val="28"/>
        </w:rPr>
        <w:t>——集成厨房干式工法的应用比例；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3b</w:t>
      </w:r>
      <w:r>
        <w:rPr>
          <w:rFonts w:hint="eastAsia" w:ascii="宋体" w:hAnsi="宋体"/>
          <w:b w:val="0"/>
          <w:bCs w:val="0"/>
          <w:color w:val="auto"/>
          <w:sz w:val="28"/>
          <w:szCs w:val="28"/>
        </w:rPr>
        <w:t>——各楼层厨房墙面、顶棚和地面采用干式工法施工的面积之和；</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cf</w:t>
      </w:r>
      <w:r>
        <w:rPr>
          <w:rFonts w:hint="eastAsia" w:ascii="宋体" w:hAnsi="宋体"/>
          <w:b w:val="0"/>
          <w:bCs w:val="0"/>
          <w:color w:val="auto"/>
          <w:sz w:val="28"/>
          <w:szCs w:val="28"/>
        </w:rPr>
        <w:t>——各楼层厨房墙面、顶棚和地面的总面积；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3c</w:t>
      </w:r>
      <w:r>
        <w:rPr>
          <w:rFonts w:hint="eastAsia" w:ascii="宋体" w:hAnsi="宋体"/>
          <w:b w:val="0"/>
          <w:bCs w:val="0"/>
          <w:color w:val="auto"/>
          <w:sz w:val="28"/>
          <w:szCs w:val="28"/>
        </w:rPr>
        <w:t>——集成卫生间干式工法的应用比例；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3c</w:t>
      </w:r>
      <w:r>
        <w:rPr>
          <w:rFonts w:hint="eastAsia" w:ascii="宋体" w:hAnsi="宋体"/>
          <w:b w:val="0"/>
          <w:bCs w:val="0"/>
          <w:color w:val="auto"/>
          <w:sz w:val="28"/>
          <w:szCs w:val="28"/>
        </w:rPr>
        <w:t>——各楼层卫生间墙面、顶棚和地面采用干式工法施工的面积之和；</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ws</w:t>
      </w:r>
      <w:r>
        <w:rPr>
          <w:rFonts w:hint="eastAsia" w:ascii="宋体" w:hAnsi="宋体"/>
          <w:b w:val="0"/>
          <w:bCs w:val="0"/>
          <w:color w:val="auto"/>
          <w:sz w:val="28"/>
          <w:szCs w:val="28"/>
        </w:rPr>
        <w:t>——各楼层卫生间墙面、顶棚和地面的总面积；</w:t>
      </w:r>
    </w:p>
    <w:p>
      <w:pPr>
        <w:rPr>
          <w:rFonts w:ascii="宋体" w:hAnsi="宋体"/>
          <w:b w:val="0"/>
          <w:bCs w:val="0"/>
          <w:color w:val="auto"/>
          <w:sz w:val="28"/>
          <w:szCs w:val="28"/>
        </w:rPr>
      </w:pP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3d</w:t>
      </w:r>
      <w:r>
        <w:rPr>
          <w:rFonts w:hint="eastAsia" w:ascii="宋体" w:hAnsi="宋体"/>
          <w:b w:val="0"/>
          <w:bCs w:val="0"/>
          <w:color w:val="auto"/>
          <w:sz w:val="28"/>
          <w:szCs w:val="28"/>
        </w:rPr>
        <w:t>——管线分离的应用比例；</w:t>
      </w:r>
    </w:p>
    <w:p>
      <w:pPr>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3d</w:t>
      </w:r>
      <w:r>
        <w:rPr>
          <w:rFonts w:hint="eastAsia" w:ascii="宋体" w:hAnsi="宋体"/>
          <w:b w:val="0"/>
          <w:bCs w:val="0"/>
          <w:color w:val="auto"/>
          <w:sz w:val="28"/>
          <w:szCs w:val="28"/>
        </w:rPr>
        <w:t>——各楼层管线分离的长度之和；</w:t>
      </w:r>
    </w:p>
    <w:p>
      <w:pPr>
        <w:adjustRightInd w:val="0"/>
        <w:snapToGrid w:val="0"/>
        <w:rPr>
          <w:rFonts w:ascii="宋体" w:hAnsi="宋体"/>
          <w:b w:val="0"/>
          <w:bCs w:val="0"/>
          <w:color w:val="auto"/>
          <w:sz w:val="28"/>
          <w:szCs w:val="28"/>
        </w:rPr>
        <w:sectPr>
          <w:headerReference r:id="rId6" w:type="default"/>
          <w:footerReference r:id="rId7" w:type="default"/>
          <w:pgSz w:w="11906" w:h="16838"/>
          <w:pgMar w:top="1440" w:right="1800" w:bottom="1440" w:left="1800" w:header="851" w:footer="992" w:gutter="0"/>
          <w:cols w:space="425" w:num="1"/>
          <w:docGrid w:type="lines" w:linePitch="312" w:charSpace="0"/>
        </w:sectPr>
      </w:pP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gx</w:t>
      </w:r>
      <w:r>
        <w:rPr>
          <w:rFonts w:hint="eastAsia" w:ascii="宋体" w:hAnsi="宋体"/>
          <w:b w:val="0"/>
          <w:bCs w:val="0"/>
          <w:color w:val="auto"/>
          <w:sz w:val="28"/>
          <w:szCs w:val="28"/>
        </w:rPr>
        <w:t>——各楼层电气、给排水和采暖管线总长度。</w:t>
      </w:r>
    </w:p>
    <w:p>
      <w:pPr>
        <w:pStyle w:val="2"/>
        <w:spacing w:before="312" w:after="312"/>
        <w:rPr>
          <w:rFonts w:ascii="宋体" w:hAnsi="宋体" w:eastAsia="宋体" w:cs="宋体"/>
          <w:b w:val="0"/>
          <w:bCs w:val="0"/>
          <w:color w:val="auto"/>
          <w:szCs w:val="28"/>
        </w:rPr>
      </w:pPr>
      <w:bookmarkStart w:id="14" w:name="_Toc468444609"/>
      <w:bookmarkStart w:id="15" w:name="_Toc468383420"/>
      <w:bookmarkStart w:id="16" w:name="_Toc468445333"/>
      <w:bookmarkStart w:id="17" w:name="_Toc468445264"/>
      <w:bookmarkStart w:id="18" w:name="_Toc468383678"/>
      <w:bookmarkStart w:id="19" w:name="_Toc408221650"/>
      <w:r>
        <w:rPr>
          <w:rFonts w:hint="eastAsia" w:ascii="宋体" w:hAnsi="宋体" w:eastAsia="宋体" w:cs="宋体"/>
          <w:b w:val="0"/>
          <w:bCs w:val="0"/>
          <w:color w:val="auto"/>
          <w:szCs w:val="28"/>
        </w:rPr>
        <w:t>3</w:t>
      </w:r>
      <w:r>
        <w:rPr>
          <w:rFonts w:hint="eastAsia" w:ascii="宋体" w:hAnsi="宋体" w:eastAsia="宋体" w:cs="宋体"/>
          <w:b w:val="0"/>
          <w:bCs w:val="0"/>
          <w:color w:val="auto"/>
          <w:szCs w:val="28"/>
        </w:rPr>
        <w:t xml:space="preserve"> </w:t>
      </w:r>
      <w:r>
        <w:rPr>
          <w:rFonts w:hint="eastAsia" w:ascii="宋体" w:hAnsi="宋体" w:eastAsia="宋体" w:cs="宋体"/>
          <w:b w:val="0"/>
          <w:bCs w:val="0"/>
          <w:color w:val="auto"/>
          <w:szCs w:val="28"/>
        </w:rPr>
        <w:t xml:space="preserve"> 基 本 规 定</w:t>
      </w:r>
      <w:bookmarkEnd w:id="8"/>
      <w:bookmarkEnd w:id="14"/>
      <w:bookmarkEnd w:id="15"/>
      <w:bookmarkEnd w:id="16"/>
      <w:bookmarkEnd w:id="17"/>
      <w:bookmarkEnd w:id="18"/>
      <w:bookmarkEnd w:id="19"/>
    </w:p>
    <w:p>
      <w:pPr>
        <w:rPr>
          <w:rFonts w:ascii="宋体" w:hAnsi="宋体" w:cs="宋体"/>
          <w:b w:val="0"/>
          <w:bCs w:val="0"/>
          <w:color w:val="auto"/>
          <w:sz w:val="28"/>
          <w:szCs w:val="28"/>
        </w:rPr>
      </w:pPr>
      <w:bookmarkStart w:id="20" w:name="_Toc380134360"/>
      <w:r>
        <w:rPr>
          <w:rFonts w:hint="eastAsia" w:ascii="宋体" w:hAnsi="宋体" w:cs="宋体"/>
          <w:b w:val="0"/>
          <w:bCs w:val="0"/>
          <w:color w:val="auto"/>
          <w:sz w:val="28"/>
          <w:szCs w:val="28"/>
        </w:rPr>
        <w:t>3.0.1</w:t>
      </w:r>
      <w:r>
        <w:rPr>
          <w:rFonts w:hint="eastAsia" w:ascii="宋体" w:hAnsi="宋体" w:cs="宋体"/>
          <w:b w:val="0"/>
          <w:bCs w:val="0"/>
          <w:color w:val="auto"/>
          <w:sz w:val="28"/>
          <w:szCs w:val="28"/>
        </w:rPr>
        <w:t>装配式建筑装配率计算和装配式建筑等级评价应以单体建筑作为计算和评价单元，并应符合下列规定：</w:t>
      </w:r>
    </w:p>
    <w:bookmarkEnd w:id="20"/>
    <w:p>
      <w:pPr>
        <w:ind w:firstLine="560" w:firstLineChars="200"/>
        <w:rPr>
          <w:rFonts w:ascii="宋体" w:hAnsi="宋体" w:cs="宋体"/>
          <w:b w:val="0"/>
          <w:bCs w:val="0"/>
          <w:color w:val="auto"/>
          <w:sz w:val="28"/>
          <w:szCs w:val="28"/>
        </w:rPr>
      </w:pPr>
      <w:bookmarkStart w:id="21" w:name="_Toc380134362"/>
      <w:r>
        <w:rPr>
          <w:rFonts w:hint="eastAsia" w:ascii="宋体" w:hAnsi="宋体" w:cs="宋体"/>
          <w:b w:val="0"/>
          <w:bCs w:val="0"/>
          <w:color w:val="auto"/>
          <w:sz w:val="28"/>
          <w:szCs w:val="28"/>
        </w:rPr>
        <w:t>1</w:t>
      </w:r>
      <w:r>
        <w:rPr>
          <w:rFonts w:hint="eastAsia" w:ascii="宋体" w:hAnsi="宋体" w:cs="宋体"/>
          <w:b w:val="0"/>
          <w:bCs w:val="0"/>
          <w:color w:val="auto"/>
          <w:sz w:val="28"/>
          <w:szCs w:val="28"/>
        </w:rPr>
        <w:t>单体建筑应按项目规划批准文件的建筑编号确认；</w:t>
      </w:r>
    </w:p>
    <w:p>
      <w:pPr>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2</w:t>
      </w:r>
      <w:r>
        <w:rPr>
          <w:rFonts w:hint="eastAsia" w:ascii="宋体" w:hAnsi="宋体" w:cs="宋体"/>
          <w:b w:val="0"/>
          <w:bCs w:val="0"/>
          <w:color w:val="auto"/>
          <w:sz w:val="28"/>
          <w:szCs w:val="28"/>
        </w:rPr>
        <w:t>建筑由主楼和裙房组成时，主楼和裙房可按不同的单体建筑进行计算和评价；</w:t>
      </w:r>
    </w:p>
    <w:p>
      <w:pPr>
        <w:ind w:firstLine="560" w:firstLineChars="200"/>
        <w:rPr>
          <w:rFonts w:ascii="宋体" w:hAnsi="宋体" w:cs="宋体"/>
          <w:b w:val="0"/>
          <w:bCs w:val="0"/>
          <w:color w:val="auto"/>
          <w:sz w:val="28"/>
          <w:szCs w:val="28"/>
        </w:rPr>
      </w:pPr>
      <w:r>
        <w:rPr>
          <w:rFonts w:hint="eastAsia" w:ascii="宋体" w:hAnsi="宋体" w:cs="宋体"/>
          <w:b w:val="0"/>
          <w:bCs w:val="0"/>
          <w:color w:val="auto"/>
          <w:sz w:val="28"/>
          <w:szCs w:val="28"/>
        </w:rPr>
        <w:t>3 单体建筑的层数不大于3层，且地上建筑面积不超过500m</w:t>
      </w:r>
      <w:r>
        <w:rPr>
          <w:rFonts w:hint="eastAsia" w:ascii="宋体" w:hAnsi="宋体" w:cs="宋体"/>
          <w:b w:val="0"/>
          <w:bCs w:val="0"/>
          <w:color w:val="auto"/>
          <w:sz w:val="28"/>
          <w:szCs w:val="28"/>
          <w:vertAlign w:val="superscript"/>
        </w:rPr>
        <w:t>2</w:t>
      </w:r>
      <w:r>
        <w:rPr>
          <w:rFonts w:hint="eastAsia" w:ascii="宋体" w:hAnsi="宋体" w:cs="宋体"/>
          <w:b w:val="0"/>
          <w:bCs w:val="0"/>
          <w:color w:val="auto"/>
          <w:sz w:val="28"/>
          <w:szCs w:val="28"/>
        </w:rPr>
        <w:t>时，可由多个单体建筑组成建筑组团作为计算和评价单元。</w:t>
      </w:r>
    </w:p>
    <w:p>
      <w:pPr>
        <w:rPr>
          <w:rFonts w:ascii="宋体" w:hAnsi="宋体" w:cs="宋体"/>
          <w:b w:val="0"/>
          <w:bCs w:val="0"/>
          <w:color w:val="auto"/>
          <w:sz w:val="28"/>
          <w:szCs w:val="28"/>
        </w:rPr>
      </w:pPr>
      <w:r>
        <w:rPr>
          <w:rFonts w:hint="eastAsia" w:ascii="宋体" w:hAnsi="宋体" w:cs="宋体"/>
          <w:b w:val="0"/>
          <w:bCs w:val="0"/>
          <w:color w:val="auto"/>
          <w:sz w:val="28"/>
          <w:szCs w:val="28"/>
        </w:rPr>
        <w:t>3.0.2</w:t>
      </w:r>
      <w:r>
        <w:rPr>
          <w:rFonts w:hint="eastAsia" w:ascii="宋体" w:hAnsi="宋体" w:cs="宋体"/>
          <w:b w:val="0"/>
          <w:bCs w:val="0"/>
          <w:color w:val="auto"/>
          <w:sz w:val="28"/>
          <w:szCs w:val="28"/>
        </w:rPr>
        <w:t>装配式建筑评价应符合下列规定：</w:t>
      </w:r>
    </w:p>
    <w:p>
      <w:pPr>
        <w:ind w:firstLine="480"/>
        <w:rPr>
          <w:rFonts w:ascii="宋体" w:hAnsi="宋体" w:cs="宋体"/>
          <w:b w:val="0"/>
          <w:bCs w:val="0"/>
          <w:color w:val="auto"/>
          <w:sz w:val="28"/>
          <w:szCs w:val="28"/>
        </w:rPr>
      </w:pPr>
      <w:r>
        <w:rPr>
          <w:rFonts w:hint="eastAsia" w:ascii="宋体" w:hAnsi="宋体" w:cs="宋体"/>
          <w:b w:val="0"/>
          <w:bCs w:val="0"/>
          <w:color w:val="auto"/>
          <w:sz w:val="28"/>
          <w:szCs w:val="28"/>
        </w:rPr>
        <w:t>1 设计阶段宜进行预评价，并应按设计文件计算装配率；</w:t>
      </w:r>
    </w:p>
    <w:p>
      <w:pPr>
        <w:ind w:firstLine="480"/>
        <w:rPr>
          <w:rFonts w:ascii="宋体" w:hAnsi="宋体" w:cs="宋体"/>
          <w:b w:val="0"/>
          <w:bCs w:val="0"/>
          <w:color w:val="auto"/>
          <w:sz w:val="28"/>
          <w:szCs w:val="28"/>
        </w:rPr>
      </w:pPr>
      <w:r>
        <w:rPr>
          <w:rFonts w:hint="eastAsia" w:ascii="宋体" w:hAnsi="宋体" w:cs="宋体"/>
          <w:b w:val="0"/>
          <w:bCs w:val="0"/>
          <w:color w:val="auto"/>
          <w:sz w:val="28"/>
          <w:szCs w:val="28"/>
        </w:rPr>
        <w:t>2 项目评价应在项目竣工验收时进行，并应按竣工验收资料计算装配率和评定等级。</w:t>
      </w:r>
    </w:p>
    <w:p>
      <w:pPr>
        <w:rPr>
          <w:rFonts w:ascii="宋体" w:hAnsi="宋体" w:cs="宋体"/>
          <w:b w:val="0"/>
          <w:bCs w:val="0"/>
          <w:color w:val="auto"/>
          <w:sz w:val="28"/>
          <w:szCs w:val="28"/>
        </w:rPr>
      </w:pPr>
      <w:r>
        <w:rPr>
          <w:rFonts w:hint="eastAsia" w:ascii="宋体" w:hAnsi="宋体" w:cs="宋体"/>
          <w:b w:val="0"/>
          <w:bCs w:val="0"/>
          <w:color w:val="auto"/>
          <w:sz w:val="28"/>
          <w:szCs w:val="28"/>
        </w:rPr>
        <w:t>3.0.3</w:t>
      </w:r>
      <w:r>
        <w:rPr>
          <w:rFonts w:hint="eastAsia" w:ascii="宋体" w:hAnsi="宋体" w:cs="宋体"/>
          <w:b w:val="0"/>
          <w:bCs w:val="0"/>
          <w:color w:val="auto"/>
          <w:sz w:val="28"/>
          <w:szCs w:val="28"/>
        </w:rPr>
        <w:t>装配式建筑应同时满足下列要求：</w:t>
      </w:r>
    </w:p>
    <w:p>
      <w:pPr>
        <w:ind w:firstLine="481"/>
        <w:rPr>
          <w:rFonts w:ascii="宋体" w:hAnsi="宋体" w:cs="宋体"/>
          <w:b w:val="0"/>
          <w:bCs w:val="0"/>
          <w:color w:val="auto"/>
          <w:sz w:val="28"/>
          <w:szCs w:val="28"/>
        </w:rPr>
      </w:pPr>
      <w:r>
        <w:rPr>
          <w:rFonts w:hint="eastAsia" w:ascii="宋体" w:hAnsi="宋体" w:cs="宋体"/>
          <w:b w:val="0"/>
          <w:bCs w:val="0"/>
          <w:color w:val="auto"/>
          <w:sz w:val="28"/>
          <w:szCs w:val="28"/>
        </w:rPr>
        <w:t>1 主体结构部分的评价分值不低于</w:t>
      </w:r>
      <w:r>
        <w:rPr>
          <w:rFonts w:ascii="宋体" w:hAnsi="宋体" w:cs="宋体"/>
          <w:b w:val="0"/>
          <w:bCs w:val="0"/>
          <w:color w:val="auto"/>
          <w:sz w:val="28"/>
          <w:szCs w:val="28"/>
        </w:rPr>
        <w:t>2</w:t>
      </w:r>
      <w:r>
        <w:rPr>
          <w:rFonts w:hint="eastAsia" w:ascii="宋体" w:hAnsi="宋体" w:cs="宋体"/>
          <w:b w:val="0"/>
          <w:bCs w:val="0"/>
          <w:color w:val="auto"/>
          <w:sz w:val="28"/>
          <w:szCs w:val="28"/>
          <w:lang w:val="en-US" w:eastAsia="zh-CN"/>
        </w:rPr>
        <w:t>5</w:t>
      </w:r>
      <w:r>
        <w:rPr>
          <w:rFonts w:hint="eastAsia" w:ascii="宋体" w:hAnsi="宋体" w:cs="宋体"/>
          <w:b w:val="0"/>
          <w:bCs w:val="0"/>
          <w:color w:val="auto"/>
          <w:sz w:val="28"/>
          <w:szCs w:val="28"/>
        </w:rPr>
        <w:t>分；</w:t>
      </w:r>
    </w:p>
    <w:p>
      <w:pPr>
        <w:ind w:firstLine="481"/>
        <w:rPr>
          <w:rFonts w:ascii="宋体" w:hAnsi="宋体" w:cs="宋体"/>
          <w:b w:val="0"/>
          <w:bCs w:val="0"/>
          <w:color w:val="auto"/>
          <w:sz w:val="28"/>
          <w:szCs w:val="28"/>
        </w:rPr>
      </w:pPr>
      <w:r>
        <w:rPr>
          <w:rFonts w:hint="eastAsia" w:ascii="宋体" w:hAnsi="宋体" w:cs="宋体"/>
          <w:b w:val="0"/>
          <w:bCs w:val="0"/>
          <w:color w:val="auto"/>
          <w:sz w:val="28"/>
          <w:szCs w:val="28"/>
        </w:rPr>
        <w:t>2 围护墙和内隔墙部分评价分值不低于</w:t>
      </w:r>
      <w:r>
        <w:rPr>
          <w:rFonts w:ascii="宋体" w:hAnsi="宋体" w:cs="宋体"/>
          <w:b w:val="0"/>
          <w:bCs w:val="0"/>
          <w:color w:val="auto"/>
          <w:sz w:val="28"/>
          <w:szCs w:val="28"/>
        </w:rPr>
        <w:t>1</w:t>
      </w:r>
      <w:r>
        <w:rPr>
          <w:rFonts w:hint="eastAsia" w:ascii="宋体" w:hAnsi="宋体" w:cs="宋体"/>
          <w:b w:val="0"/>
          <w:bCs w:val="0"/>
          <w:color w:val="auto"/>
          <w:sz w:val="28"/>
          <w:szCs w:val="28"/>
        </w:rPr>
        <w:t>0分；</w:t>
      </w:r>
    </w:p>
    <w:p>
      <w:pPr>
        <w:ind w:firstLine="481"/>
        <w:rPr>
          <w:rFonts w:ascii="宋体" w:hAnsi="宋体" w:cs="宋体"/>
          <w:b w:val="0"/>
          <w:bCs w:val="0"/>
          <w:color w:val="auto"/>
          <w:sz w:val="28"/>
          <w:szCs w:val="28"/>
        </w:rPr>
      </w:pPr>
      <w:r>
        <w:rPr>
          <w:rFonts w:hint="eastAsia" w:ascii="宋体" w:hAnsi="宋体" w:cs="宋体"/>
          <w:b w:val="0"/>
          <w:bCs w:val="0"/>
          <w:color w:val="auto"/>
          <w:sz w:val="28"/>
          <w:szCs w:val="28"/>
        </w:rPr>
        <w:t>3 采用全装修；</w:t>
      </w:r>
    </w:p>
    <w:p>
      <w:pPr>
        <w:ind w:firstLine="481"/>
        <w:rPr>
          <w:rFonts w:ascii="宋体" w:hAnsi="宋体" w:cs="宋体"/>
          <w:b w:val="0"/>
          <w:bCs w:val="0"/>
          <w:color w:val="auto"/>
          <w:sz w:val="28"/>
          <w:szCs w:val="28"/>
        </w:rPr>
      </w:pPr>
      <w:r>
        <w:rPr>
          <w:rFonts w:hint="eastAsia" w:ascii="宋体" w:hAnsi="宋体" w:cs="宋体"/>
          <w:b w:val="0"/>
          <w:bCs w:val="0"/>
          <w:color w:val="auto"/>
          <w:sz w:val="28"/>
          <w:szCs w:val="28"/>
        </w:rPr>
        <w:t>4 装配率不低于50%。</w:t>
      </w:r>
    </w:p>
    <w:p>
      <w:pPr>
        <w:rPr>
          <w:rFonts w:ascii="宋体" w:hAnsi="宋体" w:cs="宋体"/>
          <w:b w:val="0"/>
          <w:bCs w:val="0"/>
          <w:color w:val="auto"/>
          <w:sz w:val="28"/>
          <w:szCs w:val="28"/>
        </w:rPr>
      </w:pPr>
      <w:r>
        <w:rPr>
          <w:rFonts w:hint="eastAsia" w:ascii="宋体" w:hAnsi="宋体" w:cs="宋体"/>
          <w:b w:val="0"/>
          <w:bCs w:val="0"/>
          <w:color w:val="auto"/>
          <w:sz w:val="28"/>
          <w:szCs w:val="28"/>
        </w:rPr>
        <w:t>3.0.4</w:t>
      </w:r>
      <w:r>
        <w:rPr>
          <w:rFonts w:hint="eastAsia" w:ascii="宋体" w:hAnsi="宋体" w:cs="宋体"/>
          <w:b w:val="0"/>
          <w:bCs w:val="0"/>
          <w:color w:val="auto"/>
          <w:sz w:val="28"/>
          <w:szCs w:val="28"/>
        </w:rPr>
        <w:t>装配式建筑应进行建筑、结构、设备管线、装饰装修一体化设计和建造。</w:t>
      </w:r>
    </w:p>
    <w:p>
      <w:pPr>
        <w:rPr>
          <w:rFonts w:ascii="宋体" w:hAnsi="宋体" w:cs="宋体"/>
          <w:b w:val="0"/>
          <w:bCs w:val="0"/>
          <w:color w:val="auto"/>
          <w:sz w:val="28"/>
          <w:szCs w:val="28"/>
        </w:rPr>
      </w:pPr>
      <w:r>
        <w:rPr>
          <w:rFonts w:hint="eastAsia" w:ascii="宋体" w:hAnsi="宋体" w:cs="宋体"/>
          <w:b w:val="0"/>
          <w:bCs w:val="0"/>
          <w:color w:val="auto"/>
          <w:sz w:val="28"/>
          <w:szCs w:val="28"/>
        </w:rPr>
        <w:t>3.0.5</w:t>
      </w:r>
      <w:r>
        <w:rPr>
          <w:rFonts w:hint="eastAsia" w:ascii="宋体" w:hAnsi="宋体" w:cs="宋体"/>
          <w:b w:val="0"/>
          <w:bCs w:val="0"/>
          <w:color w:val="auto"/>
          <w:sz w:val="28"/>
          <w:szCs w:val="28"/>
        </w:rPr>
        <w:t>装配式建筑宜采用装配化装修。</w:t>
      </w:r>
    </w:p>
    <w:p>
      <w:pPr>
        <w:pStyle w:val="57"/>
        <w:spacing w:line="400" w:lineRule="exact"/>
        <w:jc w:val="both"/>
        <w:outlineLvl w:val="0"/>
        <w:rPr>
          <w:b w:val="0"/>
          <w:bCs w:val="0"/>
          <w:color w:val="auto"/>
          <w:sz w:val="28"/>
          <w:szCs w:val="28"/>
        </w:rPr>
        <w:sectPr>
          <w:footerReference r:id="rId8" w:type="default"/>
          <w:pgSz w:w="11906" w:h="16838"/>
          <w:pgMar w:top="1440" w:right="1800" w:bottom="1440" w:left="1800" w:header="851" w:footer="992" w:gutter="0"/>
          <w:cols w:space="425" w:num="1"/>
          <w:docGrid w:type="lines" w:linePitch="312" w:charSpace="0"/>
        </w:sectPr>
      </w:pPr>
      <w:r>
        <w:rPr>
          <w:rFonts w:hint="eastAsia" w:cs="宋体"/>
          <w:b w:val="0"/>
          <w:bCs w:val="0"/>
          <w:color w:val="auto"/>
          <w:sz w:val="28"/>
          <w:szCs w:val="28"/>
        </w:rPr>
        <w:t>3.0.6</w:t>
      </w:r>
      <w:r>
        <w:rPr>
          <w:rFonts w:hint="eastAsia"/>
          <w:b w:val="0"/>
          <w:bCs w:val="0"/>
          <w:color w:val="auto"/>
          <w:sz w:val="28"/>
          <w:szCs w:val="28"/>
        </w:rPr>
        <w:t>当采用装配式建筑新技术时，可采用专家论证的方式，确定应用比例、计算方法及分值。</w:t>
      </w:r>
    </w:p>
    <w:p>
      <w:pPr>
        <w:pStyle w:val="2"/>
        <w:spacing w:before="312" w:after="312"/>
        <w:rPr>
          <w:b w:val="0"/>
          <w:bCs w:val="0"/>
          <w:color w:val="auto"/>
        </w:rPr>
      </w:pPr>
      <w:bookmarkStart w:id="22" w:name="_Toc408221653"/>
      <w:bookmarkStart w:id="23" w:name="_Toc468383681"/>
      <w:bookmarkStart w:id="24" w:name="_Toc468383423"/>
      <w:bookmarkStart w:id="25" w:name="_Toc468445336"/>
      <w:bookmarkStart w:id="26" w:name="_Toc468444612"/>
      <w:bookmarkStart w:id="27" w:name="_Toc468445267"/>
      <w:r>
        <w:rPr>
          <w:rFonts w:hint="eastAsia"/>
          <w:b w:val="0"/>
          <w:bCs w:val="0"/>
          <w:color w:val="auto"/>
        </w:rPr>
        <w:t>4</w:t>
      </w:r>
      <w:bookmarkEnd w:id="21"/>
      <w:bookmarkEnd w:id="22"/>
      <w:r>
        <w:rPr>
          <w:rFonts w:hint="eastAsia"/>
          <w:b w:val="0"/>
          <w:bCs w:val="0"/>
          <w:color w:val="auto"/>
        </w:rPr>
        <w:t>装配式建筑装配</w:t>
      </w:r>
      <w:bookmarkEnd w:id="23"/>
      <w:bookmarkEnd w:id="24"/>
      <w:bookmarkEnd w:id="25"/>
      <w:bookmarkEnd w:id="26"/>
      <w:bookmarkEnd w:id="27"/>
      <w:r>
        <w:rPr>
          <w:rFonts w:hint="eastAsia"/>
          <w:b w:val="0"/>
          <w:bCs w:val="0"/>
          <w:color w:val="auto"/>
        </w:rPr>
        <w:t>率计算与评价</w:t>
      </w:r>
    </w:p>
    <w:p>
      <w:pPr>
        <w:ind w:firstLine="2520" w:firstLineChars="900"/>
        <w:rPr>
          <w:b w:val="0"/>
          <w:bCs w:val="0"/>
          <w:color w:val="auto"/>
          <w:sz w:val="28"/>
          <w:szCs w:val="28"/>
        </w:rPr>
      </w:pPr>
      <w:r>
        <w:rPr>
          <w:rFonts w:hint="eastAsia"/>
          <w:b w:val="0"/>
          <w:bCs w:val="0"/>
          <w:color w:val="auto"/>
          <w:sz w:val="28"/>
          <w:szCs w:val="28"/>
        </w:rPr>
        <w:t>4.1装配率计算</w:t>
      </w:r>
    </w:p>
    <w:p>
      <w:pPr>
        <w:ind w:firstLine="2520" w:firstLineChars="900"/>
        <w:rPr>
          <w:b w:val="0"/>
          <w:bCs w:val="0"/>
          <w:color w:val="auto"/>
          <w:sz w:val="28"/>
          <w:szCs w:val="28"/>
        </w:rPr>
      </w:pPr>
    </w:p>
    <w:p>
      <w:pPr>
        <w:rPr>
          <w:rFonts w:ascii="宋体" w:hAnsi="宋体"/>
          <w:b w:val="0"/>
          <w:bCs w:val="0"/>
          <w:color w:val="auto"/>
          <w:sz w:val="28"/>
          <w:szCs w:val="28"/>
        </w:rPr>
      </w:pPr>
      <w:r>
        <w:rPr>
          <w:rFonts w:hint="eastAsia" w:ascii="宋体" w:hAnsi="宋体"/>
          <w:b w:val="0"/>
          <w:bCs w:val="0"/>
          <w:color w:val="auto"/>
          <w:sz w:val="28"/>
          <w:szCs w:val="28"/>
        </w:rPr>
        <w:t>4.1.1</w:t>
      </w:r>
      <w:r>
        <w:rPr>
          <w:rFonts w:hint="eastAsia" w:ascii="宋体" w:hAnsi="宋体"/>
          <w:b w:val="0"/>
          <w:bCs w:val="0"/>
          <w:color w:val="auto"/>
          <w:sz w:val="28"/>
          <w:szCs w:val="28"/>
        </w:rPr>
        <w:t>装配式建筑</w:t>
      </w:r>
      <w:r>
        <w:rPr>
          <w:rFonts w:hint="eastAsia" w:ascii="宋体" w:hAnsi="宋体"/>
          <w:b w:val="0"/>
          <w:bCs w:val="0"/>
          <w:color w:val="auto"/>
          <w:sz w:val="28"/>
          <w:szCs w:val="28"/>
        </w:rPr>
        <w:t>装配率应根据表4.1.1-1、表4.1.1-2中评价项分值按下式计算：</w:t>
      </w:r>
    </w:p>
    <w:p>
      <w:pPr>
        <w:jc w:val="center"/>
        <w:rPr>
          <w:rFonts w:ascii="宋体" w:hAnsi="宋体"/>
          <w:b w:val="0"/>
          <w:bCs w:val="0"/>
          <w:color w:val="auto"/>
          <w:sz w:val="28"/>
          <w:szCs w:val="28"/>
        </w:rPr>
      </w:pPr>
      <w:r>
        <w:rPr>
          <w:rFonts w:hint="eastAsia" w:ascii="宋体" w:hAnsi="宋体"/>
          <w:b w:val="0"/>
          <w:bCs w:val="0"/>
          <w:color w:val="auto"/>
          <w:position w:val="-30"/>
          <w:sz w:val="28"/>
          <w:szCs w:val="28"/>
        </w:rPr>
        <w:t xml:space="preserve">         </w:t>
      </w:r>
      <w:r>
        <w:rPr>
          <w:rFonts w:ascii="Times New Roman" w:hAnsi="Times New Roman"/>
          <w:b w:val="0"/>
          <w:bCs w:val="0"/>
          <w:color w:val="auto"/>
          <w:position w:val="-30"/>
          <w:szCs w:val="21"/>
        </w:rPr>
        <w:object>
          <v:shape id="_x0000_i1025" o:spt="75" type="#_x0000_t75" style="height:36pt;width:174.75pt;" o:ole="t" filled="f" o:preferrelative="t" stroked="f" coordsize="21600,21600">
            <v:path/>
            <v:fill on="f" focussize="0,0"/>
            <v:stroke on="f"/>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ascii="宋体" w:hAnsi="宋体"/>
          <w:b w:val="0"/>
          <w:bCs w:val="0"/>
          <w:color w:val="auto"/>
          <w:sz w:val="28"/>
          <w:szCs w:val="28"/>
        </w:rPr>
        <w:t xml:space="preserve">               （4.1.1）</w:t>
      </w:r>
    </w:p>
    <w:p>
      <w:pPr>
        <w:rPr>
          <w:rFonts w:ascii="宋体" w:hAnsi="宋体" w:cs="宋体"/>
          <w:b w:val="0"/>
          <w:bCs w:val="0"/>
          <w:color w:val="auto"/>
          <w:sz w:val="28"/>
          <w:szCs w:val="28"/>
        </w:rPr>
      </w:pPr>
      <w:r>
        <w:rPr>
          <w:rFonts w:hint="eastAsia" w:ascii="宋体" w:hAnsi="宋体" w:cs="宋体"/>
          <w:b w:val="0"/>
          <w:bCs w:val="0"/>
          <w:color w:val="auto"/>
          <w:sz w:val="28"/>
          <w:szCs w:val="28"/>
        </w:rPr>
        <w:t>式中：</w:t>
      </w:r>
      <w:r>
        <w:rPr>
          <w:rFonts w:hint="eastAsia" w:ascii="宋体" w:hAnsi="宋体" w:cs="宋体"/>
          <w:b w:val="0"/>
          <w:bCs w:val="0"/>
          <w:i/>
          <w:iCs/>
          <w:color w:val="auto"/>
          <w:sz w:val="28"/>
          <w:szCs w:val="28"/>
        </w:rPr>
        <w:t>P</w:t>
      </w:r>
      <w:r>
        <w:rPr>
          <w:rFonts w:hint="eastAsia" w:ascii="宋体" w:hAnsi="宋体" w:cs="宋体"/>
          <w:b w:val="0"/>
          <w:bCs w:val="0"/>
          <w:color w:val="auto"/>
          <w:sz w:val="28"/>
          <w:szCs w:val="28"/>
        </w:rPr>
        <w:t>——</w:t>
      </w:r>
      <w:r>
        <w:rPr>
          <w:rFonts w:hint="eastAsia" w:ascii="宋体" w:hAnsi="宋体"/>
          <w:b w:val="0"/>
          <w:bCs w:val="0"/>
          <w:color w:val="auto"/>
          <w:sz w:val="28"/>
          <w:szCs w:val="28"/>
        </w:rPr>
        <w:t>装配率</w:t>
      </w:r>
      <w:r>
        <w:rPr>
          <w:rFonts w:hint="eastAsia" w:ascii="宋体" w:hAnsi="宋体" w:cs="宋体"/>
          <w:b w:val="0"/>
          <w:bCs w:val="0"/>
          <w:color w:val="auto"/>
          <w:sz w:val="28"/>
          <w:szCs w:val="28"/>
        </w:rPr>
        <w:t>；</w:t>
      </w:r>
    </w:p>
    <w:p>
      <w:pPr>
        <w:ind w:firstLine="826" w:firstLineChars="295"/>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1</w:t>
      </w:r>
      <w:r>
        <w:rPr>
          <w:rFonts w:hint="eastAsia" w:ascii="宋体" w:hAnsi="宋体" w:cs="宋体"/>
          <w:b w:val="0"/>
          <w:bCs w:val="0"/>
          <w:color w:val="auto"/>
          <w:sz w:val="28"/>
          <w:szCs w:val="28"/>
        </w:rPr>
        <w:t>——主体结构指标实际得分值；</w:t>
      </w:r>
    </w:p>
    <w:p>
      <w:pPr>
        <w:ind w:firstLine="826" w:firstLineChars="295"/>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2</w:t>
      </w:r>
      <w:r>
        <w:rPr>
          <w:rFonts w:hint="eastAsia" w:ascii="宋体" w:hAnsi="宋体" w:cs="宋体"/>
          <w:b w:val="0"/>
          <w:bCs w:val="0"/>
          <w:color w:val="auto"/>
          <w:sz w:val="28"/>
          <w:szCs w:val="28"/>
        </w:rPr>
        <w:t>——围护墙和内隔墙指标实际得分值；</w:t>
      </w:r>
    </w:p>
    <w:p>
      <w:pPr>
        <w:ind w:firstLine="826" w:firstLineChars="295"/>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3</w:t>
      </w:r>
      <w:r>
        <w:rPr>
          <w:rFonts w:hint="eastAsia" w:ascii="宋体" w:hAnsi="宋体" w:cs="宋体"/>
          <w:b w:val="0"/>
          <w:bCs w:val="0"/>
          <w:color w:val="auto"/>
          <w:sz w:val="28"/>
          <w:szCs w:val="28"/>
        </w:rPr>
        <w:t>——装修和设备管线指标实际得分值;</w:t>
      </w:r>
    </w:p>
    <w:p>
      <w:pPr>
        <w:ind w:firstLine="826" w:firstLineChars="295"/>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4</w:t>
      </w:r>
      <w:r>
        <w:rPr>
          <w:rFonts w:hint="eastAsia" w:ascii="宋体" w:hAnsi="宋体" w:cs="宋体"/>
          <w:b w:val="0"/>
          <w:bCs w:val="0"/>
          <w:color w:val="auto"/>
          <w:sz w:val="28"/>
          <w:szCs w:val="28"/>
        </w:rPr>
        <w:t>——表4.1.1</w:t>
      </w:r>
      <w:bookmarkStart w:id="43" w:name="_GoBack"/>
      <w:bookmarkEnd w:id="43"/>
      <w:r>
        <w:rPr>
          <w:rFonts w:hint="eastAsia" w:ascii="宋体" w:hAnsi="宋体" w:cs="宋体"/>
          <w:b w:val="0"/>
          <w:bCs w:val="0"/>
          <w:color w:val="auto"/>
          <w:sz w:val="28"/>
          <w:szCs w:val="28"/>
        </w:rPr>
        <w:t>评价项目中缺少的评价项分值总和；</w:t>
      </w:r>
    </w:p>
    <w:p>
      <w:pPr>
        <w:ind w:firstLine="826" w:firstLineChars="295"/>
        <w:rPr>
          <w:rFonts w:ascii="宋体" w:hAnsi="宋体" w:cs="宋体"/>
          <w:b w:val="0"/>
          <w:bCs w:val="0"/>
          <w:color w:val="auto"/>
          <w:sz w:val="28"/>
          <w:szCs w:val="28"/>
        </w:rPr>
      </w:pP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j</w:t>
      </w:r>
      <w:r>
        <w:rPr>
          <w:rFonts w:hint="eastAsia" w:ascii="宋体" w:hAnsi="宋体" w:cs="宋体"/>
          <w:b w:val="0"/>
          <w:bCs w:val="0"/>
          <w:color w:val="auto"/>
          <w:sz w:val="28"/>
          <w:szCs w:val="28"/>
        </w:rPr>
        <w:t>——装配式建筑加分表中加分项得分值总和</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lang w:val="en-US" w:eastAsia="zh-CN"/>
        </w:rPr>
        <w:t>见附件</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w:t>
      </w:r>
    </w:p>
    <w:p>
      <w:pPr>
        <w:spacing w:after="62" w:afterLines="20" w:line="360" w:lineRule="exact"/>
        <w:jc w:val="center"/>
        <w:rPr>
          <w:b w:val="0"/>
          <w:bCs w:val="0"/>
          <w:color w:val="auto"/>
          <w:sz w:val="28"/>
          <w:szCs w:val="28"/>
        </w:rPr>
      </w:pPr>
      <w:r>
        <w:rPr>
          <w:rFonts w:hint="eastAsia"/>
          <w:b w:val="0"/>
          <w:bCs w:val="0"/>
          <w:color w:val="auto"/>
          <w:sz w:val="28"/>
          <w:szCs w:val="28"/>
        </w:rPr>
        <w:t>表4.1.1 装配式建筑评分表</w:t>
      </w:r>
    </w:p>
    <w:tbl>
      <w:tblPr>
        <w:tblStyle w:val="20"/>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3000"/>
        <w:gridCol w:w="1936"/>
        <w:gridCol w:w="1214"/>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4" w:type="dxa"/>
            <w:gridSpan w:val="2"/>
            <w:vAlign w:val="center"/>
          </w:tcPr>
          <w:p>
            <w:pPr>
              <w:jc w:val="center"/>
              <w:rPr>
                <w:rFonts w:ascii="宋体" w:hAnsi="宋体"/>
                <w:b w:val="0"/>
                <w:bCs w:val="0"/>
                <w:color w:val="auto"/>
              </w:rPr>
            </w:pPr>
            <w:r>
              <w:rPr>
                <w:rFonts w:hint="eastAsia" w:ascii="宋体" w:hAnsi="宋体"/>
                <w:b w:val="0"/>
                <w:bCs w:val="0"/>
                <w:color w:val="auto"/>
              </w:rPr>
              <w:t>评价项目</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评 价 指 标</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评价分值</w:t>
            </w:r>
          </w:p>
        </w:tc>
        <w:tc>
          <w:tcPr>
            <w:tcW w:w="879" w:type="dxa"/>
            <w:vAlign w:val="center"/>
          </w:tcPr>
          <w:p>
            <w:pPr>
              <w:spacing w:line="240" w:lineRule="auto"/>
              <w:jc w:val="center"/>
              <w:rPr>
                <w:rFonts w:ascii="宋体" w:hAnsi="宋体"/>
                <w:b w:val="0"/>
                <w:bCs w:val="0"/>
                <w:color w:val="auto"/>
              </w:rPr>
            </w:pPr>
            <w:r>
              <w:rPr>
                <w:rFonts w:hint="eastAsia" w:ascii="宋体" w:hAnsi="宋体"/>
                <w:b w:val="0"/>
                <w:bCs w:val="0"/>
                <w:color w:val="auto"/>
              </w:rPr>
              <w:t>最低分数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94" w:type="dxa"/>
            <w:vMerge w:val="restart"/>
            <w:vAlign w:val="center"/>
          </w:tcPr>
          <w:p>
            <w:pPr>
              <w:spacing w:line="240" w:lineRule="auto"/>
              <w:jc w:val="center"/>
              <w:rPr>
                <w:rFonts w:ascii="宋体" w:hAnsi="宋体"/>
                <w:b w:val="0"/>
                <w:bCs w:val="0"/>
                <w:color w:val="auto"/>
              </w:rPr>
            </w:pPr>
            <w:r>
              <w:rPr>
                <w:rFonts w:hint="eastAsia" w:ascii="宋体" w:hAnsi="宋体"/>
                <w:b w:val="0"/>
                <w:bCs w:val="0"/>
                <w:color w:val="auto"/>
              </w:rPr>
              <w:t>主体结构（</w:t>
            </w: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1</w:t>
            </w:r>
            <w:r>
              <w:rPr>
                <w:rFonts w:hint="eastAsia" w:ascii="宋体" w:hAnsi="宋体"/>
                <w:b w:val="0"/>
                <w:bCs w:val="0"/>
                <w:color w:val="auto"/>
              </w:rPr>
              <w:t>，</w:t>
            </w:r>
            <w:r>
              <w:rPr>
                <w:rFonts w:ascii="宋体" w:hAnsi="宋体"/>
                <w:b w:val="0"/>
                <w:bCs w:val="0"/>
                <w:color w:val="auto"/>
              </w:rPr>
              <w:t>5</w:t>
            </w:r>
            <w:r>
              <w:rPr>
                <w:rFonts w:hint="eastAsia" w:ascii="宋体" w:hAnsi="宋体"/>
                <w:b w:val="0"/>
                <w:bCs w:val="0"/>
                <w:color w:val="auto"/>
              </w:rPr>
              <w:t>0）</w:t>
            </w:r>
          </w:p>
        </w:tc>
        <w:tc>
          <w:tcPr>
            <w:tcW w:w="3000" w:type="dxa"/>
            <w:vAlign w:val="center"/>
          </w:tcPr>
          <w:p>
            <w:pPr>
              <w:spacing w:line="240" w:lineRule="auto"/>
              <w:rPr>
                <w:rFonts w:ascii="宋体" w:hAnsi="宋体"/>
                <w:b w:val="0"/>
                <w:bCs w:val="0"/>
                <w:color w:val="auto"/>
              </w:rPr>
            </w:pPr>
            <w:r>
              <w:rPr>
                <w:rFonts w:hint="eastAsia" w:ascii="宋体" w:hAnsi="宋体"/>
                <w:b w:val="0"/>
                <w:bCs w:val="0"/>
                <w:color w:val="auto"/>
              </w:rPr>
              <w:t>柱、支撑、承重墙、</w:t>
            </w:r>
            <w:r>
              <w:rPr>
                <w:rFonts w:hint="eastAsia" w:ascii="宋体" w:hAnsi="宋体"/>
                <w:b w:val="0"/>
                <w:bCs w:val="0"/>
                <w:color w:val="auto"/>
              </w:rPr>
              <w:t>延性墙板</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lang w:val="en-US" w:eastAsia="zh-CN"/>
              </w:rPr>
              <w:t>35</w:t>
            </w:r>
            <w:r>
              <w:rPr>
                <w:rFonts w:hint="eastAsia" w:ascii="宋体" w:hAnsi="宋体"/>
                <w:b w:val="0"/>
                <w:bCs w:val="0"/>
                <w:color w:val="auto"/>
              </w:rPr>
              <w:t>%≤比例≤80%</w:t>
            </w:r>
          </w:p>
        </w:tc>
        <w:tc>
          <w:tcPr>
            <w:tcW w:w="1214" w:type="dxa"/>
            <w:tcBorders>
              <w:bottom w:val="nil"/>
            </w:tcBorders>
            <w:vAlign w:val="center"/>
          </w:tcPr>
          <w:p>
            <w:pPr>
              <w:spacing w:line="240" w:lineRule="auto"/>
              <w:jc w:val="center"/>
              <w:rPr>
                <w:rFonts w:hint="eastAsia" w:ascii="宋体" w:hAnsi="宋体" w:eastAsia="宋体"/>
                <w:b w:val="0"/>
                <w:bCs w:val="0"/>
                <w:color w:val="auto"/>
                <w:lang w:val="en-US" w:eastAsia="zh-CN"/>
              </w:rPr>
            </w:pPr>
            <w:r>
              <w:rPr>
                <w:rFonts w:hint="eastAsia" w:ascii="宋体" w:hAnsi="宋体"/>
                <w:b w:val="0"/>
                <w:bCs w:val="0"/>
                <w:color w:val="auto"/>
              </w:rPr>
              <w:t>1</w:t>
            </w:r>
            <w:r>
              <w:rPr>
                <w:rFonts w:hint="eastAsia" w:ascii="宋体" w:hAnsi="宋体"/>
                <w:b w:val="0"/>
                <w:bCs w:val="0"/>
                <w:color w:val="auto"/>
                <w:lang w:val="en-US" w:eastAsia="zh-CN"/>
              </w:rPr>
              <w:t>5</w:t>
            </w:r>
            <w:r>
              <w:rPr>
                <w:rFonts w:hint="eastAsia" w:ascii="宋体" w:hAnsi="宋体"/>
                <w:b w:val="0"/>
                <w:bCs w:val="0"/>
                <w:color w:val="auto"/>
              </w:rPr>
              <w:t>～</w:t>
            </w:r>
            <w:r>
              <w:rPr>
                <w:rFonts w:hint="eastAsia" w:ascii="宋体" w:hAnsi="宋体"/>
                <w:b w:val="0"/>
                <w:bCs w:val="0"/>
                <w:color w:val="auto"/>
                <w:lang w:val="en-US" w:eastAsia="zh-CN"/>
              </w:rPr>
              <w:t>25</w:t>
            </w:r>
            <w:r>
              <w:rPr>
                <w:rFonts w:hint="eastAsia" w:ascii="宋体" w:hAnsi="宋体"/>
                <w:b w:val="0"/>
                <w:bCs w:val="0"/>
                <w:color w:val="auto"/>
                <w:vertAlign w:val="superscript"/>
                <w:lang w:val="en-US" w:eastAsia="zh-CN"/>
              </w:rPr>
              <w:t>*</w:t>
            </w:r>
          </w:p>
        </w:tc>
        <w:tc>
          <w:tcPr>
            <w:tcW w:w="879" w:type="dxa"/>
            <w:vMerge w:val="restart"/>
            <w:vAlign w:val="center"/>
          </w:tcPr>
          <w:p>
            <w:pPr>
              <w:spacing w:line="240" w:lineRule="auto"/>
              <w:jc w:val="center"/>
              <w:rPr>
                <w:rFonts w:hint="eastAsia" w:ascii="宋体" w:hAnsi="宋体" w:eastAsia="宋体"/>
                <w:b w:val="0"/>
                <w:bCs w:val="0"/>
                <w:color w:val="auto"/>
                <w:lang w:eastAsia="zh-CN"/>
              </w:rPr>
            </w:pPr>
            <w:r>
              <w:rPr>
                <w:rFonts w:ascii="宋体" w:hAnsi="宋体"/>
                <w:b w:val="0"/>
                <w:bCs w:val="0"/>
                <w:color w:val="auto"/>
              </w:rPr>
              <w:t>2</w:t>
            </w:r>
            <w:r>
              <w:rPr>
                <w:rFonts w:hint="eastAsia" w:ascii="宋体" w:hAnsi="宋体"/>
                <w:b w:val="0"/>
                <w:bCs w:val="0"/>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94" w:type="dxa"/>
            <w:vMerge w:val="continue"/>
            <w:vAlign w:val="center"/>
          </w:tcPr>
          <w:p>
            <w:pPr>
              <w:spacing w:line="240" w:lineRule="auto"/>
              <w:jc w:val="center"/>
              <w:rPr>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梁、楼板、外墙板、楼梯、空调板、阳台、女儿墙等</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70%≤比例≤80%</w:t>
            </w:r>
          </w:p>
        </w:tc>
        <w:tc>
          <w:tcPr>
            <w:tcW w:w="1214" w:type="dxa"/>
            <w:tcBorders>
              <w:bottom w:val="nil"/>
            </w:tcBorders>
            <w:vAlign w:val="center"/>
          </w:tcPr>
          <w:p>
            <w:pPr>
              <w:spacing w:line="240" w:lineRule="auto"/>
              <w:jc w:val="center"/>
              <w:rPr>
                <w:rFonts w:ascii="宋体" w:hAnsi="宋体"/>
                <w:b w:val="0"/>
                <w:bCs w:val="0"/>
                <w:color w:val="auto"/>
              </w:rPr>
            </w:pPr>
            <w:r>
              <w:rPr>
                <w:rFonts w:hint="eastAsia" w:ascii="宋体" w:hAnsi="宋体"/>
                <w:b w:val="0"/>
                <w:bCs w:val="0"/>
                <w:color w:val="auto"/>
                <w:lang w:val="en-US" w:eastAsia="zh-CN"/>
              </w:rPr>
              <w:t>15</w:t>
            </w:r>
            <w:r>
              <w:rPr>
                <w:rFonts w:hint="eastAsia" w:ascii="宋体" w:hAnsi="宋体"/>
                <w:b w:val="0"/>
                <w:bCs w:val="0"/>
                <w:color w:val="auto"/>
              </w:rPr>
              <w:t>～</w:t>
            </w:r>
            <w:r>
              <w:rPr>
                <w:rFonts w:hint="eastAsia" w:ascii="宋体" w:hAnsi="宋体"/>
                <w:b w:val="0"/>
                <w:bCs w:val="0"/>
                <w:color w:val="auto"/>
                <w:lang w:val="en-US" w:eastAsia="zh-CN"/>
              </w:rPr>
              <w:t>25</w:t>
            </w:r>
            <w:r>
              <w:rPr>
                <w:rFonts w:hint="eastAsia" w:ascii="宋体" w:hAnsi="宋体"/>
                <w:b w:val="0"/>
                <w:bCs w:val="0"/>
                <w:color w:val="auto"/>
                <w:vertAlign w:val="superscript"/>
                <w:lang w:val="en-US" w:eastAsia="zh-CN"/>
              </w:rPr>
              <w:t>*</w:t>
            </w:r>
          </w:p>
        </w:tc>
        <w:tc>
          <w:tcPr>
            <w:tcW w:w="879" w:type="dxa"/>
            <w:vMerge w:val="continue"/>
            <w:tcBorders>
              <w:bottom w:val="nil"/>
            </w:tcBorders>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294" w:type="dxa"/>
            <w:vMerge w:val="restart"/>
            <w:vAlign w:val="center"/>
          </w:tcPr>
          <w:p>
            <w:pPr>
              <w:spacing w:line="240" w:lineRule="auto"/>
              <w:jc w:val="center"/>
              <w:rPr>
                <w:rFonts w:ascii="宋体" w:hAnsi="宋体"/>
                <w:b w:val="0"/>
                <w:bCs w:val="0"/>
                <w:color w:val="auto"/>
              </w:rPr>
            </w:pPr>
            <w:r>
              <w:rPr>
                <w:rFonts w:hint="eastAsia" w:ascii="宋体" w:hAnsi="宋体"/>
                <w:b w:val="0"/>
                <w:bCs w:val="0"/>
                <w:color w:val="auto"/>
              </w:rPr>
              <w:t>围护结构和内隔墙（</w:t>
            </w: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2</w:t>
            </w:r>
            <w:r>
              <w:rPr>
                <w:rFonts w:hint="eastAsia" w:ascii="宋体" w:hAnsi="宋体"/>
                <w:b w:val="0"/>
                <w:bCs w:val="0"/>
                <w:color w:val="auto"/>
              </w:rPr>
              <w:t>，</w:t>
            </w:r>
            <w:r>
              <w:rPr>
                <w:rFonts w:ascii="宋体" w:hAnsi="宋体"/>
                <w:b w:val="0"/>
                <w:bCs w:val="0"/>
                <w:color w:val="auto"/>
              </w:rPr>
              <w:t>2</w:t>
            </w:r>
            <w:r>
              <w:rPr>
                <w:rFonts w:hint="eastAsia" w:ascii="宋体" w:hAnsi="宋体"/>
                <w:b w:val="0"/>
                <w:bCs w:val="0"/>
                <w:color w:val="auto"/>
              </w:rPr>
              <w:t>0）</w:t>
            </w: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非承重围护墙非砌筑</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比例≥80%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5</w:t>
            </w:r>
          </w:p>
        </w:tc>
        <w:tc>
          <w:tcPr>
            <w:tcW w:w="879" w:type="dxa"/>
            <w:vMerge w:val="restart"/>
            <w:vAlign w:val="center"/>
          </w:tcPr>
          <w:p>
            <w:pPr>
              <w:spacing w:line="240" w:lineRule="auto"/>
              <w:jc w:val="center"/>
              <w:rPr>
                <w:rFonts w:ascii="宋体" w:hAnsi="宋体"/>
                <w:b w:val="0"/>
                <w:bCs w:val="0"/>
                <w:color w:val="auto"/>
              </w:rPr>
            </w:pPr>
            <w:r>
              <w:rPr>
                <w:rFonts w:ascii="宋体" w:hAnsi="宋体"/>
                <w:b w:val="0"/>
                <w:bCs w:val="0"/>
                <w:color w:val="auto"/>
              </w:rPr>
              <w:t>1</w:t>
            </w:r>
            <w:r>
              <w:rPr>
                <w:rFonts w:hint="eastAsia" w:ascii="宋体" w:hAnsi="宋体"/>
                <w:b w:val="0"/>
                <w:bCs w:val="0"/>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围护墙与保温、装饰一体化</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lang w:val="en-US" w:eastAsia="zh-CN"/>
              </w:rPr>
              <w:t>5</w:t>
            </w:r>
            <w:r>
              <w:rPr>
                <w:rFonts w:hint="eastAsia" w:ascii="宋体" w:hAnsi="宋体"/>
                <w:b w:val="0"/>
                <w:bCs w:val="0"/>
                <w:color w:val="auto"/>
              </w:rPr>
              <w:t>0%≤比例≤80%</w:t>
            </w:r>
          </w:p>
        </w:tc>
        <w:tc>
          <w:tcPr>
            <w:tcW w:w="1214" w:type="dxa"/>
            <w:vAlign w:val="center"/>
          </w:tcPr>
          <w:p>
            <w:pPr>
              <w:spacing w:line="240" w:lineRule="auto"/>
              <w:jc w:val="center"/>
              <w:rPr>
                <w:rFonts w:ascii="宋体" w:hAnsi="宋体"/>
                <w:b w:val="0"/>
                <w:bCs w:val="0"/>
                <w:color w:val="auto"/>
              </w:rPr>
            </w:pPr>
            <w:r>
              <w:rPr>
                <w:rFonts w:ascii="宋体" w:hAnsi="宋体"/>
                <w:b w:val="0"/>
                <w:bCs w:val="0"/>
                <w:color w:val="auto"/>
              </w:rPr>
              <w:t>2</w:t>
            </w:r>
            <w:r>
              <w:rPr>
                <w:rFonts w:hint="eastAsia" w:ascii="宋体" w:hAnsi="宋体"/>
                <w:b w:val="0"/>
                <w:bCs w:val="0"/>
                <w:color w:val="auto"/>
              </w:rPr>
              <w:t>～</w:t>
            </w:r>
            <w:r>
              <w:rPr>
                <w:rFonts w:ascii="宋体" w:hAnsi="宋体"/>
                <w:b w:val="0"/>
                <w:bCs w:val="0"/>
                <w:color w:val="auto"/>
              </w:rPr>
              <w:t>5</w:t>
            </w:r>
            <w:r>
              <w:rPr>
                <w:rFonts w:hint="eastAsia" w:ascii="宋体" w:hAnsi="宋体"/>
                <w:b w:val="0"/>
                <w:bCs w:val="0"/>
                <w:color w:val="auto"/>
                <w:vertAlign w:val="superscript"/>
                <w:lang w:val="en-US" w:eastAsia="zh-CN"/>
              </w:rPr>
              <w:t>*</w:t>
            </w:r>
          </w:p>
        </w:tc>
        <w:tc>
          <w:tcPr>
            <w:tcW w:w="879" w:type="dxa"/>
            <w:vMerge w:val="continue"/>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内隔墙非砌筑</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比例≥50%（80%）</w:t>
            </w:r>
          </w:p>
        </w:tc>
        <w:tc>
          <w:tcPr>
            <w:tcW w:w="1214" w:type="dxa"/>
            <w:vAlign w:val="center"/>
          </w:tcPr>
          <w:p>
            <w:pPr>
              <w:spacing w:line="240" w:lineRule="auto"/>
              <w:jc w:val="center"/>
              <w:rPr>
                <w:rFonts w:ascii="宋体" w:hAnsi="宋体"/>
                <w:b w:val="0"/>
                <w:bCs w:val="0"/>
                <w:color w:val="auto"/>
              </w:rPr>
            </w:pPr>
            <w:r>
              <w:rPr>
                <w:rFonts w:ascii="宋体" w:hAnsi="宋体"/>
                <w:b w:val="0"/>
                <w:bCs w:val="0"/>
                <w:color w:val="auto"/>
              </w:rPr>
              <w:t>5</w:t>
            </w:r>
          </w:p>
        </w:tc>
        <w:tc>
          <w:tcPr>
            <w:tcW w:w="879" w:type="dxa"/>
            <w:vMerge w:val="continue"/>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内隔墙与管线、装修一体化</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50%≤比例≤80%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2～5</w:t>
            </w:r>
            <w:r>
              <w:rPr>
                <w:rFonts w:hint="eastAsia" w:ascii="宋体" w:hAnsi="宋体"/>
                <w:b w:val="0"/>
                <w:bCs w:val="0"/>
                <w:color w:val="auto"/>
                <w:vertAlign w:val="superscript"/>
                <w:lang w:val="en-US" w:eastAsia="zh-CN"/>
              </w:rPr>
              <w:t>*</w:t>
            </w:r>
          </w:p>
        </w:tc>
        <w:tc>
          <w:tcPr>
            <w:tcW w:w="879" w:type="dxa"/>
            <w:vMerge w:val="continue"/>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restart"/>
            <w:vAlign w:val="center"/>
          </w:tcPr>
          <w:p>
            <w:pPr>
              <w:spacing w:line="240" w:lineRule="auto"/>
              <w:jc w:val="center"/>
              <w:rPr>
                <w:rFonts w:ascii="宋体" w:hAnsi="宋体"/>
                <w:b w:val="0"/>
                <w:bCs w:val="0"/>
                <w:color w:val="auto"/>
              </w:rPr>
            </w:pPr>
            <w:r>
              <w:rPr>
                <w:rFonts w:hint="eastAsia" w:ascii="宋体" w:hAnsi="宋体"/>
                <w:b w:val="0"/>
                <w:bCs w:val="0"/>
                <w:color w:val="auto"/>
              </w:rPr>
              <w:t>装饰装修及设备管线</w:t>
            </w:r>
          </w:p>
          <w:p>
            <w:pPr>
              <w:spacing w:line="240" w:lineRule="auto"/>
              <w:jc w:val="center"/>
              <w:rPr>
                <w:rFonts w:ascii="宋体" w:hAnsi="宋体"/>
                <w:b w:val="0"/>
                <w:bCs w:val="0"/>
                <w:color w:val="auto"/>
              </w:rPr>
            </w:pPr>
            <w:r>
              <w:rPr>
                <w:rFonts w:hint="eastAsia" w:ascii="宋体" w:hAnsi="宋体"/>
                <w:b w:val="0"/>
                <w:bCs w:val="0"/>
                <w:color w:val="auto"/>
              </w:rPr>
              <w:t>（</w:t>
            </w:r>
            <w:r>
              <w:rPr>
                <w:rFonts w:hint="eastAsia" w:ascii="宋体" w:hAnsi="宋体" w:cs="宋体"/>
                <w:b w:val="0"/>
                <w:bCs w:val="0"/>
                <w:i/>
                <w:iCs/>
                <w:color w:val="auto"/>
                <w:sz w:val="28"/>
                <w:szCs w:val="28"/>
                <w:lang w:val="pl-PL"/>
              </w:rPr>
              <w:t>Q</w:t>
            </w:r>
            <w:r>
              <w:rPr>
                <w:rFonts w:hint="eastAsia" w:ascii="宋体" w:hAnsi="宋体" w:cs="宋体"/>
                <w:b w:val="0"/>
                <w:bCs w:val="0"/>
                <w:color w:val="auto"/>
                <w:sz w:val="28"/>
                <w:szCs w:val="28"/>
                <w:vertAlign w:val="subscript"/>
              </w:rPr>
              <w:t>3</w:t>
            </w:r>
            <w:r>
              <w:rPr>
                <w:rFonts w:hint="eastAsia" w:ascii="宋体" w:hAnsi="宋体"/>
                <w:b w:val="0"/>
                <w:bCs w:val="0"/>
                <w:color w:val="auto"/>
              </w:rPr>
              <w:t>，30）</w:t>
            </w: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全装修</w:t>
            </w:r>
          </w:p>
        </w:tc>
        <w:tc>
          <w:tcPr>
            <w:tcW w:w="1936" w:type="dxa"/>
            <w:vAlign w:val="center"/>
          </w:tcPr>
          <w:p>
            <w:pPr>
              <w:spacing w:line="240" w:lineRule="auto"/>
              <w:jc w:val="center"/>
              <w:rPr>
                <w:rFonts w:ascii="宋体" w:hAnsi="宋体"/>
                <w:b w:val="0"/>
                <w:bCs w:val="0"/>
                <w:color w:val="auto"/>
              </w:rPr>
            </w:pP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6</w:t>
            </w:r>
          </w:p>
        </w:tc>
        <w:tc>
          <w:tcPr>
            <w:tcW w:w="879" w:type="dxa"/>
            <w:vAlign w:val="center"/>
          </w:tcPr>
          <w:p>
            <w:pPr>
              <w:spacing w:line="240" w:lineRule="auto"/>
              <w:jc w:val="center"/>
              <w:rPr>
                <w:rFonts w:ascii="宋体" w:hAnsi="宋体"/>
                <w:b w:val="0"/>
                <w:bCs w:val="0"/>
                <w:color w:val="auto"/>
              </w:rPr>
            </w:pPr>
            <w:r>
              <w:rPr>
                <w:rFonts w:hint="eastAsia" w:ascii="宋体" w:hAnsi="宋体"/>
                <w:b w:val="0"/>
                <w:bCs w:val="0"/>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干式工法楼（地）面</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比例≥70%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6</w:t>
            </w:r>
          </w:p>
        </w:tc>
        <w:tc>
          <w:tcPr>
            <w:tcW w:w="879" w:type="dxa"/>
            <w:vMerge w:val="restart"/>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集成厨房</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70%≤比例≤90%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3～6</w:t>
            </w:r>
            <w:r>
              <w:rPr>
                <w:rFonts w:hint="eastAsia" w:ascii="宋体" w:hAnsi="宋体"/>
                <w:b w:val="0"/>
                <w:bCs w:val="0"/>
                <w:color w:val="auto"/>
                <w:vertAlign w:val="superscript"/>
                <w:lang w:val="en-US" w:eastAsia="zh-CN"/>
              </w:rPr>
              <w:t>*</w:t>
            </w:r>
          </w:p>
        </w:tc>
        <w:tc>
          <w:tcPr>
            <w:tcW w:w="879" w:type="dxa"/>
            <w:vMerge w:val="continue"/>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集成式卫生间</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70%≤比例≤90%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3～6</w:t>
            </w:r>
            <w:r>
              <w:rPr>
                <w:rFonts w:hint="eastAsia" w:ascii="宋体" w:hAnsi="宋体"/>
                <w:b w:val="0"/>
                <w:bCs w:val="0"/>
                <w:color w:val="auto"/>
                <w:vertAlign w:val="superscript"/>
                <w:lang w:val="en-US" w:eastAsia="zh-CN"/>
              </w:rPr>
              <w:t>*</w:t>
            </w:r>
          </w:p>
        </w:tc>
        <w:tc>
          <w:tcPr>
            <w:tcW w:w="879" w:type="dxa"/>
            <w:vMerge w:val="continue"/>
            <w:vAlign w:val="center"/>
          </w:tcPr>
          <w:p>
            <w:pPr>
              <w:spacing w:line="240" w:lineRule="auto"/>
              <w:jc w:val="center"/>
              <w:rPr>
                <w:rFonts w:ascii="宋体" w:hAnsi="宋体"/>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4" w:type="dxa"/>
            <w:vMerge w:val="continue"/>
            <w:vAlign w:val="center"/>
          </w:tcPr>
          <w:p>
            <w:pPr>
              <w:spacing w:line="240" w:lineRule="auto"/>
              <w:jc w:val="center"/>
              <w:rPr>
                <w:rFonts w:ascii="宋体" w:hAnsi="宋体"/>
                <w:b w:val="0"/>
                <w:bCs w:val="0"/>
                <w:color w:val="auto"/>
              </w:rPr>
            </w:pPr>
          </w:p>
        </w:tc>
        <w:tc>
          <w:tcPr>
            <w:tcW w:w="3000" w:type="dxa"/>
            <w:vAlign w:val="center"/>
          </w:tcPr>
          <w:p>
            <w:pPr>
              <w:spacing w:line="240" w:lineRule="auto"/>
              <w:jc w:val="center"/>
              <w:rPr>
                <w:rFonts w:ascii="宋体" w:hAnsi="宋体"/>
                <w:b w:val="0"/>
                <w:bCs w:val="0"/>
                <w:color w:val="auto"/>
              </w:rPr>
            </w:pPr>
            <w:r>
              <w:rPr>
                <w:rFonts w:hint="eastAsia" w:ascii="宋体" w:hAnsi="宋体"/>
                <w:b w:val="0"/>
                <w:bCs w:val="0"/>
                <w:color w:val="auto"/>
              </w:rPr>
              <w:t>管线与结构分离</w:t>
            </w:r>
          </w:p>
        </w:tc>
        <w:tc>
          <w:tcPr>
            <w:tcW w:w="1936" w:type="dxa"/>
            <w:vAlign w:val="center"/>
          </w:tcPr>
          <w:p>
            <w:pPr>
              <w:spacing w:line="240" w:lineRule="auto"/>
              <w:jc w:val="center"/>
              <w:rPr>
                <w:rFonts w:ascii="宋体" w:hAnsi="宋体"/>
                <w:b w:val="0"/>
                <w:bCs w:val="0"/>
                <w:color w:val="auto"/>
              </w:rPr>
            </w:pPr>
            <w:r>
              <w:rPr>
                <w:rFonts w:hint="eastAsia" w:ascii="宋体" w:hAnsi="宋体"/>
                <w:b w:val="0"/>
                <w:bCs w:val="0"/>
                <w:color w:val="auto"/>
              </w:rPr>
              <w:t>50%≤比例≤70%</w:t>
            </w:r>
          </w:p>
        </w:tc>
        <w:tc>
          <w:tcPr>
            <w:tcW w:w="1214" w:type="dxa"/>
            <w:vAlign w:val="center"/>
          </w:tcPr>
          <w:p>
            <w:pPr>
              <w:spacing w:line="240" w:lineRule="auto"/>
              <w:jc w:val="center"/>
              <w:rPr>
                <w:rFonts w:ascii="宋体" w:hAnsi="宋体"/>
                <w:b w:val="0"/>
                <w:bCs w:val="0"/>
                <w:color w:val="auto"/>
              </w:rPr>
            </w:pPr>
            <w:r>
              <w:rPr>
                <w:rFonts w:hint="eastAsia" w:ascii="宋体" w:hAnsi="宋体"/>
                <w:b w:val="0"/>
                <w:bCs w:val="0"/>
                <w:color w:val="auto"/>
              </w:rPr>
              <w:t>4～6</w:t>
            </w:r>
            <w:r>
              <w:rPr>
                <w:rFonts w:hint="eastAsia" w:ascii="宋体" w:hAnsi="宋体"/>
                <w:b w:val="0"/>
                <w:bCs w:val="0"/>
                <w:color w:val="auto"/>
                <w:vertAlign w:val="superscript"/>
                <w:lang w:val="en-US" w:eastAsia="zh-CN"/>
              </w:rPr>
              <w:t>*</w:t>
            </w:r>
          </w:p>
        </w:tc>
        <w:tc>
          <w:tcPr>
            <w:tcW w:w="879" w:type="dxa"/>
            <w:vMerge w:val="continue"/>
            <w:vAlign w:val="center"/>
          </w:tcPr>
          <w:p>
            <w:pPr>
              <w:spacing w:line="240" w:lineRule="auto"/>
              <w:jc w:val="center"/>
              <w:rPr>
                <w:rFonts w:ascii="宋体" w:hAnsi="宋体"/>
                <w:b w:val="0"/>
                <w:bCs w:val="0"/>
                <w:color w:val="auto"/>
              </w:rPr>
            </w:pPr>
          </w:p>
        </w:tc>
      </w:tr>
    </w:tbl>
    <w:p>
      <w:pPr>
        <w:jc w:val="left"/>
        <w:rPr>
          <w:rFonts w:ascii="宋体" w:hAnsi="宋体"/>
          <w:b w:val="0"/>
          <w:bCs w:val="0"/>
          <w:color w:val="auto"/>
          <w:sz w:val="21"/>
          <w:szCs w:val="21"/>
        </w:rPr>
      </w:pPr>
      <w:r>
        <w:rPr>
          <w:rFonts w:hint="eastAsia" w:ascii="宋体" w:hAnsi="宋体"/>
          <w:b w:val="0"/>
          <w:bCs w:val="0"/>
          <w:color w:val="auto"/>
          <w:sz w:val="21"/>
          <w:szCs w:val="21"/>
        </w:rPr>
        <w:t>注：1 表中带“*”项的分值采用“内插法”计算，计算结果取小数点后1位；</w:t>
      </w:r>
    </w:p>
    <w:p>
      <w:pPr>
        <w:ind w:firstLine="480"/>
        <w:jc w:val="left"/>
        <w:rPr>
          <w:rFonts w:ascii="宋体" w:hAnsi="宋体"/>
          <w:b w:val="0"/>
          <w:bCs w:val="0"/>
          <w:color w:val="auto"/>
          <w:sz w:val="21"/>
          <w:szCs w:val="21"/>
        </w:rPr>
      </w:pPr>
      <w:r>
        <w:rPr>
          <w:rFonts w:hint="eastAsia" w:ascii="宋体" w:hAnsi="宋体"/>
          <w:b w:val="0"/>
          <w:bCs w:val="0"/>
          <w:color w:val="auto"/>
          <w:sz w:val="21"/>
          <w:szCs w:val="21"/>
        </w:rPr>
        <w:t>2 钢结构、木结构建筑项目主体结构竖向构件直接得</w:t>
      </w:r>
      <w:r>
        <w:rPr>
          <w:rFonts w:hint="eastAsia" w:ascii="宋体" w:hAnsi="宋体"/>
          <w:b w:val="0"/>
          <w:bCs w:val="0"/>
          <w:color w:val="auto"/>
          <w:sz w:val="21"/>
          <w:szCs w:val="21"/>
          <w:lang w:val="en-US" w:eastAsia="zh-CN"/>
        </w:rPr>
        <w:t>25</w:t>
      </w:r>
      <w:r>
        <w:rPr>
          <w:rFonts w:hint="eastAsia" w:ascii="宋体" w:hAnsi="宋体"/>
          <w:b w:val="0"/>
          <w:bCs w:val="0"/>
          <w:color w:val="auto"/>
          <w:sz w:val="21"/>
          <w:szCs w:val="21"/>
        </w:rPr>
        <w:t>分</w:t>
      </w:r>
    </w:p>
    <w:p>
      <w:pPr>
        <w:ind w:firstLine="480"/>
        <w:jc w:val="left"/>
        <w:rPr>
          <w:rFonts w:hint="eastAsia" w:ascii="宋体" w:hAnsi="宋体" w:eastAsiaTheme="minorEastAsia"/>
          <w:b w:val="0"/>
          <w:bCs w:val="0"/>
          <w:color w:val="auto"/>
          <w:sz w:val="21"/>
          <w:szCs w:val="21"/>
          <w:lang w:eastAsia="zh-CN"/>
        </w:rPr>
      </w:pPr>
      <w:r>
        <w:rPr>
          <w:rFonts w:hint="eastAsia" w:ascii="宋体" w:hAnsi="宋体"/>
          <w:b w:val="0"/>
          <w:bCs w:val="0"/>
          <w:color w:val="auto"/>
          <w:sz w:val="21"/>
          <w:szCs w:val="21"/>
          <w:lang w:val="en-US" w:eastAsia="zh-CN"/>
        </w:rPr>
        <w:t>3</w:t>
      </w:r>
      <w:r>
        <w:rPr>
          <w:rFonts w:hint="eastAsia" w:ascii="宋体" w:hAnsi="宋体"/>
          <w:b w:val="0"/>
          <w:bCs w:val="0"/>
          <w:color w:val="auto"/>
          <w:sz w:val="21"/>
          <w:szCs w:val="21"/>
        </w:rPr>
        <w:t xml:space="preserve"> </w:t>
      </w:r>
      <w:r>
        <w:rPr>
          <w:rFonts w:hint="eastAsia" w:asciiTheme="minorEastAsia" w:hAnsiTheme="minorEastAsia" w:eastAsiaTheme="minorEastAsia"/>
          <w:b w:val="0"/>
          <w:bCs w:val="0"/>
          <w:color w:val="auto"/>
          <w:sz w:val="21"/>
          <w:szCs w:val="21"/>
        </w:rPr>
        <w:t>一个评价项存在两种装配式技术时，仅能选择一项参与计算</w:t>
      </w:r>
      <w:bookmarkStart w:id="28" w:name="_Toc468445273"/>
      <w:bookmarkStart w:id="29" w:name="_Toc468445342"/>
      <w:bookmarkStart w:id="30" w:name="_Toc468383687"/>
      <w:bookmarkStart w:id="31" w:name="_Toc468383429"/>
      <w:bookmarkStart w:id="32" w:name="_Toc468444618"/>
      <w:r>
        <w:rPr>
          <w:rFonts w:hint="eastAsia" w:ascii="宋体" w:hAnsi="宋体" w:eastAsiaTheme="minorEastAsia"/>
          <w:b w:val="0"/>
          <w:bCs w:val="0"/>
          <w:color w:val="auto"/>
          <w:sz w:val="21"/>
          <w:szCs w:val="21"/>
          <w:lang w:eastAsia="zh-CN"/>
        </w:rPr>
        <w:t>；</w:t>
      </w:r>
    </w:p>
    <w:p>
      <w:pPr>
        <w:ind w:firstLine="480"/>
        <w:jc w:val="left"/>
        <w:rPr>
          <w:rFonts w:hint="default" w:ascii="宋体" w:hAnsi="宋体" w:eastAsia="宋体"/>
          <w:b w:val="0"/>
          <w:bCs w:val="0"/>
          <w:color w:val="auto"/>
          <w:sz w:val="21"/>
          <w:szCs w:val="21"/>
          <w:lang w:val="en-US" w:eastAsia="zh-CN"/>
        </w:rPr>
      </w:pPr>
      <w:r>
        <w:rPr>
          <w:rFonts w:hint="eastAsia" w:ascii="宋体" w:hAnsi="宋体"/>
          <w:b w:val="0"/>
          <w:bCs w:val="0"/>
          <w:color w:val="auto"/>
          <w:sz w:val="21"/>
          <w:szCs w:val="21"/>
          <w:lang w:val="en-US" w:eastAsia="zh-CN"/>
        </w:rPr>
        <w:t>4 公共建筑全装修直接得6分。</w:t>
      </w:r>
    </w:p>
    <w:p>
      <w:pPr>
        <w:pStyle w:val="2"/>
        <w:spacing w:before="312" w:after="312"/>
        <w:jc w:val="both"/>
        <w:rPr>
          <w:rFonts w:ascii="宋体" w:hAnsi="宋体" w:eastAsia="宋体" w:cs="宋体"/>
          <w:b w:val="0"/>
          <w:bCs w:val="0"/>
          <w:color w:val="auto"/>
          <w:szCs w:val="28"/>
        </w:rPr>
      </w:pPr>
      <w:r>
        <w:rPr>
          <w:rFonts w:hint="eastAsia" w:ascii="宋体" w:hAnsi="宋体" w:eastAsia="宋体" w:cs="宋体"/>
          <w:b w:val="0"/>
          <w:bCs w:val="0"/>
          <w:color w:val="auto"/>
          <w:szCs w:val="28"/>
        </w:rPr>
        <w:t>4.1.2  柱、支撑、承重墙等主体结构竖向构件主要采用混凝土材料时，预制部品部件的应用比例应按下式计算：</w:t>
      </w:r>
    </w:p>
    <w:p>
      <w:pPr>
        <w:pStyle w:val="2"/>
        <w:spacing w:before="312" w:after="312"/>
        <w:ind w:firstLine="3080" w:firstLineChars="1100"/>
        <w:jc w:val="both"/>
        <w:rPr>
          <w:b w:val="0"/>
          <w:bCs w:val="0"/>
          <w:color w:val="auto"/>
          <w:szCs w:val="28"/>
        </w:rPr>
      </w:pPr>
      <w:r>
        <w:rPr>
          <w:b w:val="0"/>
          <w:bCs w:val="0"/>
          <w:color w:val="auto"/>
          <w:position w:val="-24"/>
          <w:szCs w:val="28"/>
        </w:rPr>
        <w:object>
          <v:shape id="_x0000_i1026" o:spt="75" type="#_x0000_t75" style="height:31.2pt;width:76.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b w:val="0"/>
          <w:bCs w:val="0"/>
          <w:color w:val="auto"/>
          <w:position w:val="-24"/>
          <w:szCs w:val="28"/>
        </w:rPr>
        <w:t xml:space="preserve">                </w:t>
      </w:r>
      <w:r>
        <w:rPr>
          <w:rFonts w:hint="eastAsia"/>
          <w:b w:val="0"/>
          <w:bCs w:val="0"/>
          <w:color w:val="auto"/>
          <w:szCs w:val="28"/>
        </w:rPr>
        <w:t>（4.1.2）</w:t>
      </w:r>
    </w:p>
    <w:p>
      <w:pPr>
        <w:pStyle w:val="2"/>
        <w:spacing w:before="312" w:after="312"/>
        <w:ind w:left="840" w:hanging="840" w:hangingChars="300"/>
        <w:jc w:val="left"/>
        <w:rPr>
          <w:rFonts w:ascii="宋体" w:hAnsi="宋体" w:eastAsia="宋体" w:cs="宋体"/>
          <w:b w:val="0"/>
          <w:bCs w:val="0"/>
          <w:color w:val="auto"/>
          <w:szCs w:val="28"/>
        </w:rPr>
      </w:pPr>
      <w:r>
        <w:rPr>
          <w:rFonts w:hint="eastAsia" w:ascii="宋体" w:hAnsi="宋体" w:eastAsia="宋体" w:cs="宋体"/>
          <w:b w:val="0"/>
          <w:bCs w:val="0"/>
          <w:color w:val="auto"/>
          <w:szCs w:val="28"/>
        </w:rPr>
        <w:t>式中：</w:t>
      </w:r>
      <w:r>
        <w:rPr>
          <w:rFonts w:hint="eastAsia" w:ascii="宋体" w:hAnsi="宋体" w:eastAsia="宋体" w:cs="宋体"/>
          <w:b w:val="0"/>
          <w:bCs w:val="0"/>
          <w:i/>
          <w:color w:val="auto"/>
          <w:szCs w:val="28"/>
        </w:rPr>
        <w:t>q</w:t>
      </w:r>
      <w:r>
        <w:rPr>
          <w:rFonts w:hint="eastAsia" w:ascii="宋体" w:hAnsi="宋体" w:eastAsia="宋体" w:cs="宋体"/>
          <w:b w:val="0"/>
          <w:bCs w:val="0"/>
          <w:color w:val="auto"/>
          <w:szCs w:val="28"/>
          <w:vertAlign w:val="subscript"/>
        </w:rPr>
        <w:t>1a</w:t>
      </w:r>
      <w:r>
        <w:rPr>
          <w:rFonts w:hint="eastAsia" w:ascii="宋体" w:hAnsi="宋体" w:eastAsia="宋体" w:cs="宋体"/>
          <w:b w:val="0"/>
          <w:bCs w:val="0"/>
          <w:color w:val="auto"/>
          <w:szCs w:val="28"/>
        </w:rPr>
        <w:t>——柱、支撑、承重墙等主体结构竖向构件中预制部品部件的应用比例；</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w:t>
      </w:r>
      <w:r>
        <w:rPr>
          <w:rFonts w:hint="eastAsia" w:ascii="宋体" w:hAnsi="宋体" w:cs="宋体"/>
          <w:b w:val="0"/>
          <w:bCs w:val="0"/>
          <w:i/>
          <w:color w:val="auto"/>
          <w:sz w:val="28"/>
          <w:szCs w:val="28"/>
        </w:rPr>
        <w:t>V</w:t>
      </w:r>
      <w:r>
        <w:rPr>
          <w:rFonts w:hint="eastAsia" w:ascii="宋体" w:hAnsi="宋体" w:cs="宋体"/>
          <w:b w:val="0"/>
          <w:bCs w:val="0"/>
          <w:color w:val="auto"/>
          <w:sz w:val="28"/>
          <w:szCs w:val="28"/>
          <w:vertAlign w:val="subscript"/>
        </w:rPr>
        <w:t>1</w:t>
      </w:r>
      <w:r>
        <w:rPr>
          <w:rFonts w:hint="eastAsia" w:ascii="宋体" w:hAnsi="宋体" w:cs="宋体"/>
          <w:b w:val="0"/>
          <w:bCs w:val="0"/>
          <w:color w:val="auto"/>
          <w:sz w:val="28"/>
          <w:szCs w:val="28"/>
        </w:rPr>
        <w:t>——</w:t>
      </w:r>
      <w:r>
        <w:rPr>
          <w:rFonts w:hint="eastAsia" w:ascii="宋体" w:hAnsi="宋体" w:cs="宋体"/>
          <w:b w:val="0"/>
          <w:bCs w:val="0"/>
          <w:color w:val="auto"/>
          <w:sz w:val="28"/>
          <w:szCs w:val="28"/>
        </w:rPr>
        <w:t>柱、支撑、承重墙等主体结构竖向构件中预制</w:t>
      </w:r>
      <w:r>
        <w:rPr>
          <w:rFonts w:hint="eastAsia" w:ascii="宋体" w:hAnsi="宋体" w:cs="宋体"/>
          <w:b w:val="0"/>
          <w:bCs w:val="0"/>
          <w:color w:val="auto"/>
          <w:sz w:val="28"/>
          <w:szCs w:val="28"/>
        </w:rPr>
        <w:t>部品部件</w:t>
      </w:r>
      <w:r>
        <w:rPr>
          <w:rFonts w:hint="eastAsia" w:ascii="宋体" w:hAnsi="宋体" w:cs="宋体"/>
          <w:b w:val="0"/>
          <w:bCs w:val="0"/>
          <w:color w:val="auto"/>
          <w:sz w:val="28"/>
          <w:szCs w:val="28"/>
        </w:rPr>
        <w:t>混凝土体积之和；符合本导则第4.1.3条规定的预制</w:t>
      </w:r>
      <w:r>
        <w:rPr>
          <w:rFonts w:hint="eastAsia" w:ascii="宋体" w:hAnsi="宋体" w:cs="宋体"/>
          <w:b w:val="0"/>
          <w:bCs w:val="0"/>
          <w:color w:val="auto"/>
          <w:sz w:val="28"/>
          <w:szCs w:val="28"/>
        </w:rPr>
        <w:t>部品部件</w:t>
      </w:r>
      <w:r>
        <w:rPr>
          <w:rFonts w:hint="eastAsia" w:ascii="宋体" w:hAnsi="宋体" w:cs="宋体"/>
          <w:b w:val="0"/>
          <w:bCs w:val="0"/>
          <w:color w:val="auto"/>
          <w:sz w:val="28"/>
          <w:szCs w:val="28"/>
        </w:rPr>
        <w:t>间连接部分的后浇带可以计入其中；</w:t>
      </w:r>
    </w:p>
    <w:p>
      <w:pPr>
        <w:ind w:firstLine="481"/>
        <w:rPr>
          <w:rFonts w:ascii="宋体" w:hAnsi="宋体" w:cs="宋体"/>
          <w:b w:val="0"/>
          <w:bCs w:val="0"/>
          <w:color w:val="auto"/>
          <w:sz w:val="28"/>
          <w:szCs w:val="28"/>
        </w:rPr>
      </w:pPr>
      <w:r>
        <w:rPr>
          <w:rFonts w:hint="eastAsia" w:ascii="宋体" w:hAnsi="宋体" w:cs="宋体"/>
          <w:b w:val="0"/>
          <w:bCs w:val="0"/>
          <w:i/>
          <w:color w:val="auto"/>
          <w:sz w:val="28"/>
          <w:szCs w:val="28"/>
        </w:rPr>
        <w:t>V</w:t>
      </w:r>
      <w:r>
        <w:rPr>
          <w:rFonts w:hint="eastAsia" w:ascii="宋体" w:hAnsi="宋体" w:cs="宋体"/>
          <w:b w:val="0"/>
          <w:bCs w:val="0"/>
          <w:color w:val="auto"/>
          <w:sz w:val="28"/>
          <w:szCs w:val="28"/>
        </w:rPr>
        <w:t>——柱、支撑、承重墙等主体结构竖向构件混凝土总体积。</w:t>
      </w:r>
    </w:p>
    <w:p>
      <w:pPr>
        <w:rPr>
          <w:rFonts w:ascii="宋体" w:hAnsi="宋体" w:cs="宋体"/>
          <w:b w:val="0"/>
          <w:bCs w:val="0"/>
          <w:color w:val="auto"/>
          <w:sz w:val="28"/>
          <w:szCs w:val="28"/>
        </w:rPr>
      </w:pPr>
      <w:r>
        <w:rPr>
          <w:rFonts w:hint="eastAsia" w:ascii="宋体" w:hAnsi="宋体" w:cs="宋体"/>
          <w:b w:val="0"/>
          <w:bCs w:val="0"/>
          <w:color w:val="auto"/>
          <w:sz w:val="28"/>
          <w:szCs w:val="28"/>
        </w:rPr>
        <w:t>4.1.3  当符合下列规定时，主体结构竖向</w:t>
      </w:r>
      <w:r>
        <w:rPr>
          <w:rFonts w:hint="eastAsia" w:ascii="宋体" w:hAnsi="宋体" w:cs="宋体"/>
          <w:b w:val="0"/>
          <w:bCs w:val="0"/>
          <w:color w:val="auto"/>
          <w:sz w:val="28"/>
          <w:szCs w:val="28"/>
        </w:rPr>
        <w:t>部品部件</w:t>
      </w:r>
      <w:r>
        <w:rPr>
          <w:rFonts w:hint="eastAsia" w:ascii="宋体" w:hAnsi="宋体" w:cs="宋体"/>
          <w:b w:val="0"/>
          <w:bCs w:val="0"/>
          <w:color w:val="auto"/>
          <w:sz w:val="28"/>
          <w:szCs w:val="28"/>
        </w:rPr>
        <w:t>连接部分现浇段和后浇混凝土可计入预制混凝土体积计算。</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1 预制剪力墙板之间宽度不大于600mm的竖向现浇段和高度不大于300mm的水平后浇带、圈梁的后浇混凝土体积；</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2 预制框架柱和框架梁之间柱梁节点核心区的后浇混凝土体积；</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3 预制柱间高度不大于柱截面较小尺寸的连接区后浇混凝土体积；</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4 预制</w:t>
      </w:r>
      <w:r>
        <w:rPr>
          <w:rFonts w:hint="eastAsia" w:ascii="宋体" w:hAnsi="宋体" w:cs="宋体"/>
          <w:b w:val="0"/>
          <w:bCs w:val="0"/>
          <w:color w:val="auto"/>
          <w:sz w:val="28"/>
          <w:szCs w:val="28"/>
        </w:rPr>
        <w:t>部品部件</w:t>
      </w:r>
      <w:r>
        <w:rPr>
          <w:rFonts w:hint="eastAsia" w:ascii="宋体" w:hAnsi="宋体" w:cs="宋体"/>
          <w:b w:val="0"/>
          <w:bCs w:val="0"/>
          <w:color w:val="auto"/>
          <w:sz w:val="28"/>
          <w:szCs w:val="28"/>
        </w:rPr>
        <w:t>内带有非结构部分体积，可以计入预制混凝土体积；</w:t>
      </w:r>
    </w:p>
    <w:p>
      <w:pPr>
        <w:rPr>
          <w:rFonts w:ascii="宋体" w:hAnsi="宋体" w:cs="宋体"/>
          <w:b w:val="0"/>
          <w:bCs w:val="0"/>
          <w:color w:val="auto"/>
          <w:sz w:val="28"/>
          <w:szCs w:val="28"/>
        </w:rPr>
      </w:pPr>
      <w:r>
        <w:rPr>
          <w:rFonts w:hint="eastAsia" w:ascii="宋体" w:hAnsi="宋体" w:cs="宋体"/>
          <w:b w:val="0"/>
          <w:bCs w:val="0"/>
          <w:color w:val="auto"/>
          <w:sz w:val="28"/>
          <w:szCs w:val="28"/>
        </w:rPr>
        <w:t xml:space="preserve">     5 预制承重墙、楼板、楼梯等构件中填充被混凝土全部包裹的轻质材料，可以计入预制混凝土体积</w:t>
      </w:r>
      <w:r>
        <w:rPr>
          <w:rFonts w:hint="eastAsia" w:ascii="宋体" w:hAnsi="宋体" w:cs="宋体"/>
          <w:b w:val="0"/>
          <w:bCs w:val="0"/>
          <w:color w:val="auto"/>
          <w:sz w:val="28"/>
          <w:szCs w:val="28"/>
        </w:rPr>
        <w:t>。</w:t>
      </w:r>
    </w:p>
    <w:p>
      <w:pPr>
        <w:rPr>
          <w:rFonts w:ascii="宋体" w:hAnsi="宋体"/>
          <w:b w:val="0"/>
          <w:bCs w:val="0"/>
          <w:color w:val="auto"/>
          <w:sz w:val="28"/>
          <w:szCs w:val="28"/>
        </w:rPr>
      </w:pPr>
      <w:r>
        <w:rPr>
          <w:rFonts w:hint="eastAsia" w:ascii="宋体" w:hAnsi="宋体" w:cs="宋体"/>
          <w:b w:val="0"/>
          <w:bCs w:val="0"/>
          <w:color w:val="auto"/>
          <w:sz w:val="28"/>
          <w:szCs w:val="28"/>
        </w:rPr>
        <w:t>4.1.4</w:t>
      </w:r>
      <w:r>
        <w:rPr>
          <w:rFonts w:hint="eastAsia" w:ascii="宋体" w:hAnsi="宋体"/>
          <w:b w:val="0"/>
          <w:bCs w:val="0"/>
          <w:color w:val="auto"/>
          <w:sz w:val="28"/>
          <w:szCs w:val="28"/>
        </w:rPr>
        <w:t xml:space="preserve"> 梁、板、楼梯、阳台、空调板等构件中预制部品部件的应用比例应按下式计算：</w:t>
      </w:r>
    </w:p>
    <w:p>
      <w:pPr>
        <w:ind w:firstLine="2800" w:firstLineChars="1000"/>
        <w:rPr>
          <w:rFonts w:ascii="宋体" w:hAnsi="宋体"/>
          <w:b w:val="0"/>
          <w:bCs w:val="0"/>
          <w:color w:val="auto"/>
          <w:sz w:val="28"/>
          <w:szCs w:val="28"/>
        </w:rPr>
      </w:pPr>
      <w:r>
        <w:rPr>
          <w:rFonts w:hint="eastAsia" w:ascii="宋体" w:hAnsi="宋体"/>
          <w:b w:val="0"/>
          <w:bCs w:val="0"/>
          <w:color w:val="auto"/>
          <w:position w:val="-32"/>
          <w:sz w:val="28"/>
          <w:szCs w:val="28"/>
        </w:rPr>
        <w:object>
          <v:shape id="_x0000_i1027" o:spt="75" type="#_x0000_t75" style="height:34.8pt;width:83.4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b w:val="0"/>
          <w:bCs w:val="0"/>
          <w:color w:val="auto"/>
          <w:sz w:val="28"/>
          <w:szCs w:val="28"/>
        </w:rPr>
        <w:t xml:space="preserve">                    (4.1.4)</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1b</w:t>
      </w:r>
      <w:r>
        <w:rPr>
          <w:rFonts w:hint="eastAsia" w:ascii="宋体" w:hAnsi="宋体"/>
          <w:b w:val="0"/>
          <w:bCs w:val="0"/>
          <w:color w:val="auto"/>
          <w:sz w:val="28"/>
          <w:szCs w:val="28"/>
        </w:rPr>
        <w:t>——梁、板、楼梯、阳台、空调板等构件中预制部品部件的应用比例；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1a</w:t>
      </w:r>
      <w:r>
        <w:rPr>
          <w:rFonts w:hint="eastAsia" w:ascii="宋体" w:hAnsi="宋体"/>
          <w:b w:val="0"/>
          <w:bCs w:val="0"/>
          <w:color w:val="auto"/>
          <w:sz w:val="28"/>
          <w:szCs w:val="28"/>
        </w:rPr>
        <w:t>——各楼层梁、板、楼梯、阳台、空调板等预制部品部件的水平投影面积之和；</w:t>
      </w:r>
    </w:p>
    <w:p>
      <w:pPr>
        <w:ind w:firstLine="560" w:firstLineChars="200"/>
        <w:jc w:val="left"/>
        <w:rPr>
          <w:rFonts w:ascii="宋体" w:hAnsi="宋体"/>
          <w:b w:val="0"/>
          <w:bCs w:val="0"/>
          <w:color w:val="auto"/>
          <w:sz w:val="28"/>
          <w:szCs w:val="28"/>
        </w:rPr>
      </w:pPr>
      <w:r>
        <w:rPr>
          <w:rFonts w:hint="eastAsia" w:ascii="宋体" w:hAnsi="宋体"/>
          <w:b w:val="0"/>
          <w:bCs w:val="0"/>
          <w:i/>
          <w:color w:val="auto"/>
          <w:sz w:val="28"/>
          <w:szCs w:val="28"/>
        </w:rPr>
        <w:t>A</w:t>
      </w:r>
      <w:r>
        <w:rPr>
          <w:rFonts w:hint="eastAsia" w:ascii="宋体" w:hAnsi="宋体"/>
          <w:b w:val="0"/>
          <w:bCs w:val="0"/>
          <w:color w:val="auto"/>
          <w:sz w:val="28"/>
          <w:szCs w:val="28"/>
        </w:rPr>
        <w:t>——各楼层建筑平面总面积。</w:t>
      </w:r>
    </w:p>
    <w:p>
      <w:pPr>
        <w:rPr>
          <w:rFonts w:ascii="宋体" w:hAnsi="宋体"/>
          <w:b w:val="0"/>
          <w:bCs w:val="0"/>
          <w:color w:val="auto"/>
          <w:sz w:val="28"/>
          <w:szCs w:val="28"/>
        </w:rPr>
      </w:pPr>
      <w:r>
        <w:rPr>
          <w:rFonts w:hint="eastAsia" w:ascii="宋体" w:hAnsi="宋体"/>
          <w:b w:val="0"/>
          <w:bCs w:val="0"/>
          <w:color w:val="auto"/>
          <w:sz w:val="28"/>
          <w:szCs w:val="28"/>
        </w:rPr>
        <w:t>4.1.5  预制装配式楼板、屋面板的水平投影面积可以包括：</w:t>
      </w:r>
    </w:p>
    <w:p>
      <w:pPr>
        <w:ind w:firstLine="481"/>
        <w:rPr>
          <w:rFonts w:ascii="宋体" w:hAnsi="宋体"/>
          <w:b w:val="0"/>
          <w:bCs w:val="0"/>
          <w:color w:val="auto"/>
          <w:sz w:val="28"/>
          <w:szCs w:val="28"/>
        </w:rPr>
      </w:pPr>
      <w:r>
        <w:rPr>
          <w:rFonts w:hint="eastAsia" w:ascii="宋体" w:hAnsi="宋体"/>
          <w:b w:val="0"/>
          <w:bCs w:val="0"/>
          <w:color w:val="auto"/>
          <w:sz w:val="28"/>
          <w:szCs w:val="28"/>
        </w:rPr>
        <w:t>1 预制装配式叠合楼板、屋面板的水平投影面积；</w:t>
      </w:r>
    </w:p>
    <w:p>
      <w:pPr>
        <w:ind w:firstLine="481"/>
        <w:rPr>
          <w:rFonts w:ascii="宋体" w:hAnsi="宋体"/>
          <w:b w:val="0"/>
          <w:bCs w:val="0"/>
          <w:color w:val="auto"/>
          <w:sz w:val="28"/>
          <w:szCs w:val="28"/>
        </w:rPr>
      </w:pPr>
      <w:r>
        <w:rPr>
          <w:rFonts w:hint="eastAsia" w:ascii="宋体" w:hAnsi="宋体"/>
          <w:b w:val="0"/>
          <w:bCs w:val="0"/>
          <w:color w:val="auto"/>
          <w:sz w:val="28"/>
          <w:szCs w:val="28"/>
        </w:rPr>
        <w:t>2 预制</w:t>
      </w:r>
      <w:r>
        <w:rPr>
          <w:rFonts w:hint="eastAsia" w:ascii="宋体" w:hAnsi="宋体" w:cs="宋体"/>
          <w:b w:val="0"/>
          <w:bCs w:val="0"/>
          <w:color w:val="auto"/>
          <w:sz w:val="28"/>
          <w:szCs w:val="28"/>
        </w:rPr>
        <w:t>部品部件</w:t>
      </w:r>
      <w:r>
        <w:rPr>
          <w:rFonts w:hint="eastAsia" w:ascii="宋体" w:hAnsi="宋体"/>
          <w:b w:val="0"/>
          <w:bCs w:val="0"/>
          <w:color w:val="auto"/>
          <w:sz w:val="28"/>
          <w:szCs w:val="28"/>
        </w:rPr>
        <w:t>间宽度不大于300mm的后浇混凝土带水平投影面积；</w:t>
      </w:r>
    </w:p>
    <w:p>
      <w:pPr>
        <w:ind w:firstLine="481"/>
        <w:rPr>
          <w:rFonts w:ascii="宋体" w:hAnsi="宋体"/>
          <w:b w:val="0"/>
          <w:bCs w:val="0"/>
          <w:color w:val="auto"/>
          <w:sz w:val="28"/>
          <w:szCs w:val="28"/>
        </w:rPr>
      </w:pPr>
      <w:r>
        <w:rPr>
          <w:rFonts w:hint="eastAsia" w:ascii="宋体" w:hAnsi="宋体"/>
          <w:b w:val="0"/>
          <w:bCs w:val="0"/>
          <w:color w:val="auto"/>
          <w:sz w:val="28"/>
          <w:szCs w:val="28"/>
        </w:rPr>
        <w:t>3 金属楼承板和屋面板、木楼盖和屋盖及其他在施工现场免支模的楼盖和屋盖的水平投影面积。</w:t>
      </w:r>
    </w:p>
    <w:p>
      <w:pPr>
        <w:rPr>
          <w:rFonts w:ascii="宋体" w:hAnsi="宋体"/>
          <w:b w:val="0"/>
          <w:bCs w:val="0"/>
          <w:color w:val="auto"/>
          <w:sz w:val="28"/>
          <w:szCs w:val="28"/>
        </w:rPr>
      </w:pPr>
      <w:r>
        <w:rPr>
          <w:rFonts w:hint="eastAsia" w:ascii="宋体" w:hAnsi="宋体"/>
          <w:b w:val="0"/>
          <w:bCs w:val="0"/>
          <w:color w:val="auto"/>
          <w:sz w:val="28"/>
          <w:szCs w:val="28"/>
        </w:rPr>
        <w:t>4.1.6  非承重围护墙中非砌筑墙体的应用比例应按下式计算：</w:t>
      </w:r>
    </w:p>
    <w:p>
      <w:pPr>
        <w:ind w:firstLine="2520" w:firstLineChars="900"/>
        <w:rPr>
          <w:rFonts w:ascii="宋体" w:hAnsi="宋体"/>
          <w:b w:val="0"/>
          <w:bCs w:val="0"/>
          <w:color w:val="auto"/>
          <w:sz w:val="28"/>
          <w:szCs w:val="28"/>
        </w:rPr>
      </w:pPr>
      <w:r>
        <w:rPr>
          <w:rFonts w:hint="eastAsia" w:ascii="宋体" w:hAnsi="宋体"/>
          <w:b w:val="0"/>
          <w:bCs w:val="0"/>
          <w:color w:val="auto"/>
          <w:position w:val="-30"/>
          <w:sz w:val="28"/>
          <w:szCs w:val="28"/>
        </w:rPr>
        <w:object>
          <v:shape id="_x0000_i1028" o:spt="75" type="#_x0000_t75" style="height:33.6pt;width:84.6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b w:val="0"/>
          <w:bCs w:val="0"/>
          <w:color w:val="auto"/>
          <w:position w:val="-30"/>
          <w:sz w:val="28"/>
          <w:szCs w:val="28"/>
        </w:rPr>
        <w:t xml:space="preserve">                     </w:t>
      </w:r>
      <w:r>
        <w:rPr>
          <w:rFonts w:hint="eastAsia" w:ascii="宋体" w:hAnsi="宋体"/>
          <w:b w:val="0"/>
          <w:bCs w:val="0"/>
          <w:color w:val="auto"/>
          <w:sz w:val="28"/>
          <w:szCs w:val="28"/>
        </w:rPr>
        <w:t>(4.1.6)</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2a</w:t>
      </w:r>
      <w:r>
        <w:rPr>
          <w:rFonts w:hint="eastAsia" w:ascii="宋体" w:hAnsi="宋体"/>
          <w:b w:val="0"/>
          <w:bCs w:val="0"/>
          <w:color w:val="auto"/>
          <w:sz w:val="28"/>
          <w:szCs w:val="28"/>
        </w:rPr>
        <w:t>——非承重围护墙中非砌筑墙体的应用比例；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2a</w:t>
      </w:r>
      <w:r>
        <w:rPr>
          <w:rFonts w:hint="eastAsia" w:ascii="宋体" w:hAnsi="宋体"/>
          <w:b w:val="0"/>
          <w:bCs w:val="0"/>
          <w:color w:val="auto"/>
          <w:sz w:val="28"/>
          <w:szCs w:val="28"/>
        </w:rPr>
        <w:t>——各楼层非承重围护墙中非砌筑墙体的外表面积之和，计算时可不扣除门、窗及预留洞口等的面积；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w1</w:t>
      </w:r>
      <w:r>
        <w:rPr>
          <w:rFonts w:hint="eastAsia" w:ascii="宋体" w:hAnsi="宋体"/>
          <w:b w:val="0"/>
          <w:bCs w:val="0"/>
          <w:color w:val="auto"/>
          <w:sz w:val="28"/>
          <w:szCs w:val="28"/>
        </w:rPr>
        <w:t>——各楼层非承重围护墙外表面总面积，计算时可不扣除门、窗及预留洞口等的面积。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4.1.7  围护墙采用墙体、保温、装饰一体化的应用比例应按下式计算：</w:t>
      </w:r>
    </w:p>
    <w:p>
      <w:pPr>
        <w:ind w:firstLine="2800" w:firstLineChars="1000"/>
        <w:rPr>
          <w:rFonts w:ascii="宋体" w:hAnsi="宋体"/>
          <w:b w:val="0"/>
          <w:bCs w:val="0"/>
          <w:color w:val="auto"/>
          <w:sz w:val="28"/>
          <w:szCs w:val="28"/>
        </w:rPr>
      </w:pPr>
      <w:r>
        <w:rPr>
          <w:rFonts w:hint="eastAsia" w:ascii="宋体" w:hAnsi="宋体"/>
          <w:b w:val="0"/>
          <w:bCs w:val="0"/>
          <w:color w:val="auto"/>
          <w:position w:val="-30"/>
          <w:sz w:val="28"/>
          <w:szCs w:val="28"/>
        </w:rPr>
        <w:object>
          <v:shape id="_x0000_i1029" o:spt="75" type="#_x0000_t75" style="height:33.6pt;width:85.2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b w:val="0"/>
          <w:bCs w:val="0"/>
          <w:color w:val="auto"/>
          <w:sz w:val="28"/>
          <w:szCs w:val="28"/>
        </w:rPr>
        <w:t xml:space="preserve">                   (4.1.7)</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2b</w:t>
      </w:r>
      <w:r>
        <w:rPr>
          <w:rFonts w:hint="eastAsia" w:ascii="宋体" w:hAnsi="宋体"/>
          <w:b w:val="0"/>
          <w:bCs w:val="0"/>
          <w:color w:val="auto"/>
          <w:sz w:val="28"/>
          <w:szCs w:val="28"/>
        </w:rPr>
        <w:t>——围护墙采用墙体、保温、装饰一体化的应用比例；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2b</w:t>
      </w:r>
      <w:r>
        <w:rPr>
          <w:rFonts w:hint="eastAsia" w:ascii="宋体" w:hAnsi="宋体"/>
          <w:b w:val="0"/>
          <w:bCs w:val="0"/>
          <w:color w:val="auto"/>
          <w:sz w:val="28"/>
          <w:szCs w:val="28"/>
        </w:rPr>
        <w:t>——各楼层围护墙采用墙体、保温、装饰一体化墙体的外表面积之和，计算时可不扣除门、窗及预留洞口等的面积；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w1</w:t>
      </w:r>
      <w:r>
        <w:rPr>
          <w:rFonts w:hint="eastAsia" w:ascii="宋体" w:hAnsi="宋体"/>
          <w:b w:val="0"/>
          <w:bCs w:val="0"/>
          <w:color w:val="auto"/>
          <w:sz w:val="28"/>
          <w:szCs w:val="28"/>
        </w:rPr>
        <w:t>——各楼层非承重围护墙外表面总面积，计算时可不扣除门、窗及预留洞口等的面积。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4.1.8  内隔墙中非砌筑墙体的应用比例应按下式计算：</w:t>
      </w:r>
    </w:p>
    <w:p>
      <w:pPr>
        <w:ind w:firstLine="2800" w:firstLineChars="1000"/>
        <w:rPr>
          <w:rFonts w:ascii="宋体" w:hAnsi="宋体"/>
          <w:b w:val="0"/>
          <w:bCs w:val="0"/>
          <w:color w:val="auto"/>
          <w:sz w:val="28"/>
          <w:szCs w:val="28"/>
        </w:rPr>
      </w:pPr>
      <w:r>
        <w:rPr>
          <w:rFonts w:hint="eastAsia" w:ascii="宋体" w:hAnsi="宋体"/>
          <w:b w:val="0"/>
          <w:bCs w:val="0"/>
          <w:color w:val="auto"/>
          <w:position w:val="-30"/>
          <w:sz w:val="28"/>
          <w:szCs w:val="28"/>
        </w:rPr>
        <w:object>
          <v:shape id="_x0000_i1030" o:spt="75" type="#_x0000_t75" style="height:33.6pt;width:84pt;" o:ole="t" filled="f" o:preferrelative="t" stroked="f" coordsize="21600,21600">
            <v:path/>
            <v:fill on="f" focussize="0,0"/>
            <v:stroke on="f" joinstyle="miter"/>
            <v:imagedata r:id="rId22" o:title=""/>
            <o:lock v:ext="edit" aspectratio="t"/>
            <w10:wrap type="none"/>
            <w10:anchorlock/>
          </v:shape>
          <o:OLEObject Type="Embed" ProgID="Equation.3" ShapeID="_x0000_i1030" DrawAspect="Content" ObjectID="_1468075730" r:id="rId21">
            <o:LockedField>false</o:LockedField>
          </o:OLEObject>
        </w:object>
      </w:r>
      <w:r>
        <w:rPr>
          <w:rFonts w:hint="eastAsia" w:ascii="宋体" w:hAnsi="宋体"/>
          <w:b w:val="0"/>
          <w:bCs w:val="0"/>
          <w:color w:val="auto"/>
          <w:position w:val="-30"/>
          <w:sz w:val="28"/>
          <w:szCs w:val="28"/>
        </w:rPr>
        <w:t xml:space="preserve">                    </w:t>
      </w:r>
      <w:r>
        <w:rPr>
          <w:rFonts w:hint="eastAsia" w:ascii="宋体" w:hAnsi="宋体"/>
          <w:b w:val="0"/>
          <w:bCs w:val="0"/>
          <w:color w:val="auto"/>
          <w:sz w:val="28"/>
          <w:szCs w:val="28"/>
        </w:rPr>
        <w:t>(4.1.8)</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2c</w:t>
      </w:r>
      <w:r>
        <w:rPr>
          <w:rFonts w:hint="eastAsia" w:ascii="宋体" w:hAnsi="宋体"/>
          <w:b w:val="0"/>
          <w:bCs w:val="0"/>
          <w:color w:val="auto"/>
          <w:sz w:val="28"/>
          <w:szCs w:val="28"/>
        </w:rPr>
        <w:t>——内隔墙中非砌筑墙体的应用比例；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2c</w:t>
      </w:r>
      <w:r>
        <w:rPr>
          <w:rFonts w:hint="eastAsia" w:ascii="宋体" w:hAnsi="宋体"/>
          <w:b w:val="0"/>
          <w:bCs w:val="0"/>
          <w:color w:val="auto"/>
          <w:sz w:val="28"/>
          <w:szCs w:val="28"/>
        </w:rPr>
        <w:t>——各楼层内隔墙中非砌筑墙体的墙面面积之和，计算时可不扣除门、窗及预留洞口等的面积；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w3</w:t>
      </w:r>
      <w:r>
        <w:rPr>
          <w:rFonts w:hint="eastAsia" w:ascii="宋体" w:hAnsi="宋体"/>
          <w:b w:val="0"/>
          <w:bCs w:val="0"/>
          <w:color w:val="auto"/>
          <w:sz w:val="28"/>
          <w:szCs w:val="28"/>
        </w:rPr>
        <w:t>——各楼层内隔墙墙面总面积，计算时可不扣除门、窗及预留洞口等的面积。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4.1.9  内隔墙采用墙体、管线、装修一体化的应用比例应按下式计算：</w:t>
      </w:r>
    </w:p>
    <w:p>
      <w:pPr>
        <w:ind w:firstLine="2800" w:firstLineChars="1000"/>
        <w:rPr>
          <w:rFonts w:ascii="宋体" w:hAnsi="宋体"/>
          <w:b w:val="0"/>
          <w:bCs w:val="0"/>
          <w:color w:val="auto"/>
          <w:sz w:val="28"/>
          <w:szCs w:val="28"/>
        </w:rPr>
      </w:pPr>
      <w:r>
        <w:rPr>
          <w:rFonts w:hint="eastAsia" w:ascii="宋体" w:hAnsi="宋体"/>
          <w:b w:val="0"/>
          <w:bCs w:val="0"/>
          <w:color w:val="auto"/>
          <w:position w:val="-30"/>
          <w:sz w:val="28"/>
          <w:szCs w:val="28"/>
        </w:rPr>
        <w:object>
          <v:shape id="_x0000_i1031" o:spt="75" type="#_x0000_t75" style="height:33.6pt;width:85.8pt;" o:ole="t"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hint="eastAsia" w:ascii="宋体" w:hAnsi="宋体"/>
          <w:b w:val="0"/>
          <w:bCs w:val="0"/>
          <w:color w:val="auto"/>
          <w:sz w:val="28"/>
          <w:szCs w:val="28"/>
        </w:rPr>
        <w:t xml:space="preserve">                    (4.1.9)</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2d</w:t>
      </w:r>
      <w:r>
        <w:rPr>
          <w:rFonts w:hint="eastAsia" w:ascii="宋体" w:hAnsi="宋体"/>
          <w:b w:val="0"/>
          <w:bCs w:val="0"/>
          <w:color w:val="auto"/>
          <w:sz w:val="28"/>
          <w:szCs w:val="28"/>
        </w:rPr>
        <w:t>——内隔墙采用墙体、管线、装修一体化的应用比例；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2d</w:t>
      </w:r>
      <w:r>
        <w:rPr>
          <w:rFonts w:hint="eastAsia" w:ascii="宋体" w:hAnsi="宋体"/>
          <w:b w:val="0"/>
          <w:bCs w:val="0"/>
          <w:color w:val="auto"/>
          <w:sz w:val="28"/>
          <w:szCs w:val="28"/>
        </w:rPr>
        <w:t>——各楼层内隔墙采用墙体、管线、装修一体化的墙面面积之和，计算时可不扣除门、窗及预留洞口等的面积；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w3</w:t>
      </w:r>
      <w:r>
        <w:rPr>
          <w:rFonts w:hint="eastAsia" w:ascii="宋体" w:hAnsi="宋体"/>
          <w:b w:val="0"/>
          <w:bCs w:val="0"/>
          <w:color w:val="auto"/>
          <w:sz w:val="28"/>
          <w:szCs w:val="28"/>
        </w:rPr>
        <w:t>——各楼层内隔墙墙面总面积，计算时可不扣除门、窗及预留洞口等的面积。</w:t>
      </w:r>
    </w:p>
    <w:p>
      <w:pPr>
        <w:rPr>
          <w:rFonts w:ascii="宋体" w:hAnsi="宋体"/>
          <w:b w:val="0"/>
          <w:bCs w:val="0"/>
          <w:color w:val="auto"/>
          <w:sz w:val="28"/>
          <w:szCs w:val="28"/>
        </w:rPr>
      </w:pPr>
      <w:r>
        <w:rPr>
          <w:rFonts w:hint="eastAsia" w:ascii="宋体" w:hAnsi="宋体"/>
          <w:b w:val="0"/>
          <w:bCs w:val="0"/>
          <w:color w:val="auto"/>
          <w:sz w:val="28"/>
          <w:szCs w:val="28"/>
        </w:rPr>
        <w:t>4.1.10 干式工法楼面、地面的应用比例应按下式计算：</w:t>
      </w:r>
    </w:p>
    <w:p>
      <w:pPr>
        <w:ind w:firstLine="2800" w:firstLineChars="1000"/>
        <w:rPr>
          <w:rFonts w:ascii="宋体" w:hAnsi="宋体"/>
          <w:b w:val="0"/>
          <w:bCs w:val="0"/>
          <w:color w:val="auto"/>
          <w:sz w:val="28"/>
          <w:szCs w:val="28"/>
        </w:rPr>
      </w:pPr>
      <w:r>
        <w:rPr>
          <w:rFonts w:hint="eastAsia" w:ascii="宋体" w:hAnsi="宋体"/>
          <w:b w:val="0"/>
          <w:bCs w:val="0"/>
          <w:color w:val="auto"/>
          <w:position w:val="-32"/>
          <w:sz w:val="28"/>
          <w:szCs w:val="28"/>
        </w:rPr>
        <w:object>
          <v:shape id="_x0000_i1032" o:spt="75" type="#_x0000_t75" style="height:34.8pt;width:82.2pt;" o:ole="t"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rFonts w:hint="eastAsia" w:ascii="宋体" w:hAnsi="宋体"/>
          <w:b w:val="0"/>
          <w:bCs w:val="0"/>
          <w:color w:val="auto"/>
          <w:sz w:val="28"/>
          <w:szCs w:val="28"/>
        </w:rPr>
        <w:t xml:space="preserve">                   （4.1.10）</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3a</w:t>
      </w:r>
      <w:r>
        <w:rPr>
          <w:rFonts w:hint="eastAsia" w:ascii="宋体" w:hAnsi="宋体"/>
          <w:b w:val="0"/>
          <w:bCs w:val="0"/>
          <w:color w:val="auto"/>
          <w:sz w:val="28"/>
          <w:szCs w:val="28"/>
        </w:rPr>
        <w:t>——干式工法楼面、地面的应用比例；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3a</w:t>
      </w:r>
      <w:r>
        <w:rPr>
          <w:rFonts w:hint="eastAsia" w:ascii="宋体" w:hAnsi="宋体"/>
          <w:b w:val="0"/>
          <w:bCs w:val="0"/>
          <w:color w:val="auto"/>
          <w:sz w:val="28"/>
          <w:szCs w:val="28"/>
        </w:rPr>
        <w:t>——各楼层采用干式工法楼面、地面水平投影面积之和；</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rPr>
        <w:t>——各楼层建筑平面总面积。</w:t>
      </w:r>
    </w:p>
    <w:p>
      <w:pPr>
        <w:rPr>
          <w:rFonts w:ascii="宋体" w:hAnsi="宋体"/>
          <w:b w:val="0"/>
          <w:bCs w:val="0"/>
          <w:color w:val="auto"/>
          <w:sz w:val="28"/>
          <w:szCs w:val="28"/>
        </w:rPr>
      </w:pPr>
      <w:r>
        <w:rPr>
          <w:rFonts w:hint="eastAsia" w:ascii="宋体" w:hAnsi="宋体"/>
          <w:b w:val="0"/>
          <w:bCs w:val="0"/>
          <w:color w:val="auto"/>
          <w:sz w:val="28"/>
          <w:szCs w:val="28"/>
        </w:rPr>
        <w:t>4.1.11  集成厨房的橱柜和厨房设备等应全部安装到位，墙面、顶棚和地面中干式工法的应用比例应按下式计算：</w:t>
      </w:r>
    </w:p>
    <w:p>
      <w:pPr>
        <w:tabs>
          <w:tab w:val="left" w:pos="667"/>
        </w:tabs>
        <w:ind w:firstLine="1960" w:firstLineChars="700"/>
        <w:rPr>
          <w:rFonts w:ascii="宋体" w:hAnsi="宋体"/>
          <w:b w:val="0"/>
          <w:bCs w:val="0"/>
          <w:color w:val="auto"/>
          <w:sz w:val="28"/>
          <w:szCs w:val="28"/>
        </w:rPr>
      </w:pPr>
      <w:r>
        <w:rPr>
          <w:rFonts w:hint="eastAsia" w:ascii="宋体" w:hAnsi="宋体"/>
          <w:b w:val="0"/>
          <w:bCs w:val="0"/>
          <w:color w:val="auto"/>
          <w:position w:val="-32"/>
          <w:sz w:val="28"/>
          <w:szCs w:val="28"/>
        </w:rPr>
        <w:tab/>
      </w:r>
      <w:r>
        <w:rPr>
          <w:rFonts w:hint="eastAsia" w:ascii="宋体" w:hAnsi="宋体"/>
          <w:b w:val="0"/>
          <w:bCs w:val="0"/>
          <w:color w:val="auto"/>
          <w:position w:val="-32"/>
          <w:sz w:val="28"/>
          <w:szCs w:val="28"/>
        </w:rPr>
        <w:t xml:space="preserve">     </w:t>
      </w:r>
      <w:r>
        <w:rPr>
          <w:rFonts w:hint="eastAsia" w:ascii="宋体" w:hAnsi="宋体"/>
          <w:b w:val="0"/>
          <w:bCs w:val="0"/>
          <w:color w:val="auto"/>
          <w:position w:val="-32"/>
          <w:sz w:val="28"/>
          <w:szCs w:val="28"/>
        </w:rPr>
        <w:object>
          <v:shape id="_x0000_i1033" o:spt="75" type="#_x0000_t75" style="height:34.8pt;width:82.8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r>
        <w:rPr>
          <w:rFonts w:hint="eastAsia" w:ascii="宋体" w:hAnsi="宋体"/>
          <w:b w:val="0"/>
          <w:bCs w:val="0"/>
          <w:color w:val="auto"/>
          <w:position w:val="-32"/>
          <w:sz w:val="28"/>
          <w:szCs w:val="28"/>
        </w:rPr>
        <w:t xml:space="preserve">                   </w:t>
      </w:r>
      <w:r>
        <w:rPr>
          <w:rFonts w:hint="eastAsia" w:ascii="宋体" w:hAnsi="宋体"/>
          <w:b w:val="0"/>
          <w:bCs w:val="0"/>
          <w:color w:val="auto"/>
          <w:sz w:val="28"/>
          <w:szCs w:val="28"/>
        </w:rPr>
        <w:t>（4.1.11）</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3b</w:t>
      </w:r>
      <w:r>
        <w:rPr>
          <w:rFonts w:hint="eastAsia" w:ascii="宋体" w:hAnsi="宋体"/>
          <w:b w:val="0"/>
          <w:bCs w:val="0"/>
          <w:color w:val="auto"/>
          <w:sz w:val="28"/>
          <w:szCs w:val="28"/>
        </w:rPr>
        <w:t>——集成厨房干式工法的应用比例；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3b</w:t>
      </w:r>
      <w:r>
        <w:rPr>
          <w:rFonts w:hint="eastAsia" w:ascii="宋体" w:hAnsi="宋体"/>
          <w:b w:val="0"/>
          <w:bCs w:val="0"/>
          <w:color w:val="auto"/>
          <w:sz w:val="28"/>
          <w:szCs w:val="28"/>
        </w:rPr>
        <w:t>——各楼层厨房墙面、顶棚和地面采用干式工法施工的面积之和；</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cf</w:t>
      </w:r>
      <w:r>
        <w:rPr>
          <w:rFonts w:hint="eastAsia" w:ascii="宋体" w:hAnsi="宋体"/>
          <w:b w:val="0"/>
          <w:bCs w:val="0"/>
          <w:color w:val="auto"/>
          <w:sz w:val="28"/>
          <w:szCs w:val="28"/>
        </w:rPr>
        <w:t>——各楼层厨房墙面、顶棚和地面的总面积。</w:t>
      </w:r>
    </w:p>
    <w:p>
      <w:pPr>
        <w:rPr>
          <w:rFonts w:ascii="宋体" w:hAnsi="宋体"/>
          <w:b w:val="0"/>
          <w:bCs w:val="0"/>
          <w:color w:val="auto"/>
          <w:sz w:val="28"/>
          <w:szCs w:val="28"/>
        </w:rPr>
      </w:pPr>
      <w:r>
        <w:rPr>
          <w:rFonts w:hint="eastAsia" w:ascii="宋体" w:hAnsi="宋体"/>
          <w:b w:val="0"/>
          <w:bCs w:val="0"/>
          <w:color w:val="auto"/>
          <w:sz w:val="28"/>
          <w:szCs w:val="28"/>
        </w:rPr>
        <w:t>4.1.12  集成卫生间的洁具等设备应全部安装到位，墙面、顶棚和地面中干式工法的应用比例应按下式计算：</w:t>
      </w:r>
    </w:p>
    <w:p>
      <w:pPr>
        <w:tabs>
          <w:tab w:val="left" w:pos="1279"/>
        </w:tabs>
        <w:ind w:firstLine="1960" w:firstLineChars="700"/>
        <w:rPr>
          <w:rFonts w:ascii="宋体" w:hAnsi="宋体"/>
          <w:b w:val="0"/>
          <w:bCs w:val="0"/>
          <w:color w:val="auto"/>
          <w:sz w:val="28"/>
          <w:szCs w:val="28"/>
        </w:rPr>
      </w:pPr>
      <w:r>
        <w:rPr>
          <w:rFonts w:hint="eastAsia" w:ascii="宋体" w:hAnsi="宋体"/>
          <w:b w:val="0"/>
          <w:bCs w:val="0"/>
          <w:color w:val="auto"/>
          <w:position w:val="-30"/>
          <w:sz w:val="28"/>
          <w:szCs w:val="28"/>
        </w:rPr>
        <w:tab/>
      </w:r>
      <w:r>
        <w:rPr>
          <w:rFonts w:hint="eastAsia" w:ascii="宋体" w:hAnsi="宋体"/>
          <w:b w:val="0"/>
          <w:bCs w:val="0"/>
          <w:color w:val="auto"/>
          <w:position w:val="-30"/>
          <w:sz w:val="28"/>
          <w:szCs w:val="28"/>
        </w:rPr>
        <w:t xml:space="preserve">      </w:t>
      </w:r>
      <w:r>
        <w:rPr>
          <w:rFonts w:hint="eastAsia" w:ascii="宋体" w:hAnsi="宋体"/>
          <w:b w:val="0"/>
          <w:bCs w:val="0"/>
          <w:color w:val="auto"/>
          <w:position w:val="-30"/>
          <w:sz w:val="28"/>
          <w:szCs w:val="28"/>
        </w:rPr>
        <w:object>
          <v:shape id="_x0000_i1034" o:spt="75" type="#_x0000_t75" style="height:33.6pt;width:83.4pt;" o:ole="t"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r>
        <w:rPr>
          <w:rFonts w:hint="eastAsia" w:ascii="宋体" w:hAnsi="宋体"/>
          <w:b w:val="0"/>
          <w:bCs w:val="0"/>
          <w:color w:val="auto"/>
          <w:sz w:val="28"/>
          <w:szCs w:val="28"/>
        </w:rPr>
        <w:t xml:space="preserve">                  （4.1.12）</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3c</w:t>
      </w:r>
      <w:r>
        <w:rPr>
          <w:rFonts w:hint="eastAsia" w:ascii="宋体" w:hAnsi="宋体"/>
          <w:b w:val="0"/>
          <w:bCs w:val="0"/>
          <w:color w:val="auto"/>
          <w:sz w:val="28"/>
          <w:szCs w:val="28"/>
        </w:rPr>
        <w:t>——集成卫生间干式工法的应用比例；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3c</w:t>
      </w:r>
      <w:r>
        <w:rPr>
          <w:rFonts w:hint="eastAsia" w:ascii="宋体" w:hAnsi="宋体"/>
          <w:b w:val="0"/>
          <w:bCs w:val="0"/>
          <w:color w:val="auto"/>
          <w:sz w:val="28"/>
          <w:szCs w:val="28"/>
        </w:rPr>
        <w:t>——各楼层卫生间墙面、顶棚和地面采用干式工法施工的面积之和；</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ws</w:t>
      </w:r>
      <w:r>
        <w:rPr>
          <w:rFonts w:hint="eastAsia" w:ascii="宋体" w:hAnsi="宋体"/>
          <w:b w:val="0"/>
          <w:bCs w:val="0"/>
          <w:color w:val="auto"/>
          <w:sz w:val="28"/>
          <w:szCs w:val="28"/>
        </w:rPr>
        <w:t>——各楼层卫生间墙面、顶棚和地面的总面积。</w:t>
      </w:r>
    </w:p>
    <w:p>
      <w:pPr>
        <w:rPr>
          <w:rFonts w:ascii="宋体" w:hAnsi="宋体"/>
          <w:b w:val="0"/>
          <w:bCs w:val="0"/>
          <w:color w:val="auto"/>
          <w:sz w:val="28"/>
          <w:szCs w:val="28"/>
        </w:rPr>
      </w:pPr>
      <w:r>
        <w:rPr>
          <w:rFonts w:hint="eastAsia" w:ascii="宋体" w:hAnsi="宋体"/>
          <w:b w:val="0"/>
          <w:bCs w:val="0"/>
          <w:color w:val="auto"/>
          <w:sz w:val="28"/>
          <w:szCs w:val="28"/>
        </w:rPr>
        <w:t>4.1.13  管线分离比例应按下式计算：</w:t>
      </w:r>
    </w:p>
    <w:p>
      <w:pPr>
        <w:tabs>
          <w:tab w:val="left" w:pos="667"/>
        </w:tabs>
        <w:ind w:firstLine="1960" w:firstLineChars="700"/>
        <w:rPr>
          <w:rFonts w:ascii="宋体" w:hAnsi="宋体"/>
          <w:b w:val="0"/>
          <w:bCs w:val="0"/>
          <w:color w:val="auto"/>
          <w:sz w:val="28"/>
          <w:szCs w:val="28"/>
        </w:rPr>
      </w:pPr>
      <w:r>
        <w:rPr>
          <w:rFonts w:hint="eastAsia" w:ascii="宋体" w:hAnsi="宋体"/>
          <w:b w:val="0"/>
          <w:bCs w:val="0"/>
          <w:color w:val="auto"/>
          <w:position w:val="-32"/>
          <w:sz w:val="28"/>
          <w:szCs w:val="28"/>
        </w:rPr>
        <w:tab/>
      </w:r>
      <w:r>
        <w:rPr>
          <w:rFonts w:hint="eastAsia" w:ascii="宋体" w:hAnsi="宋体"/>
          <w:b w:val="0"/>
          <w:bCs w:val="0"/>
          <w:color w:val="auto"/>
          <w:position w:val="-32"/>
          <w:sz w:val="28"/>
          <w:szCs w:val="28"/>
        </w:rPr>
        <w:t xml:space="preserve">      </w:t>
      </w:r>
      <w:r>
        <w:rPr>
          <w:rFonts w:hint="eastAsia" w:ascii="宋体" w:hAnsi="宋体"/>
          <w:b w:val="0"/>
          <w:bCs w:val="0"/>
          <w:color w:val="auto"/>
          <w:position w:val="-32"/>
          <w:sz w:val="28"/>
          <w:szCs w:val="28"/>
        </w:rPr>
        <w:object>
          <v:shape id="_x0000_i1035" o:spt="75" type="#_x0000_t75" style="height:34.8pt;width:84.6pt;" o:ole="t"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5" r:id="rId31">
            <o:LockedField>false</o:LockedField>
          </o:OLEObject>
        </w:object>
      </w:r>
      <w:r>
        <w:rPr>
          <w:rFonts w:hint="eastAsia" w:ascii="宋体" w:hAnsi="宋体"/>
          <w:b w:val="0"/>
          <w:bCs w:val="0"/>
          <w:color w:val="auto"/>
          <w:position w:val="-32"/>
          <w:sz w:val="28"/>
          <w:szCs w:val="28"/>
        </w:rPr>
        <w:t xml:space="preserve">                  </w:t>
      </w:r>
      <w:r>
        <w:rPr>
          <w:rFonts w:hint="eastAsia" w:ascii="宋体" w:hAnsi="宋体"/>
          <w:b w:val="0"/>
          <w:bCs w:val="0"/>
          <w:color w:val="auto"/>
          <w:sz w:val="28"/>
          <w:szCs w:val="28"/>
        </w:rPr>
        <w:t>（4.1.13）</w:t>
      </w:r>
    </w:p>
    <w:p>
      <w:pPr>
        <w:rPr>
          <w:rFonts w:ascii="宋体" w:hAnsi="宋体"/>
          <w:b w:val="0"/>
          <w:bCs w:val="0"/>
          <w:color w:val="auto"/>
          <w:sz w:val="28"/>
          <w:szCs w:val="28"/>
        </w:rPr>
      </w:pPr>
      <w:r>
        <w:rPr>
          <w:rFonts w:hint="eastAsia" w:ascii="宋体" w:hAnsi="宋体"/>
          <w:b w:val="0"/>
          <w:bCs w:val="0"/>
          <w:color w:val="auto"/>
          <w:sz w:val="28"/>
          <w:szCs w:val="28"/>
        </w:rPr>
        <w:t>式中：</w:t>
      </w:r>
      <w:r>
        <w:rPr>
          <w:rFonts w:hint="eastAsia" w:ascii="宋体" w:hAnsi="宋体"/>
          <w:b w:val="0"/>
          <w:bCs w:val="0"/>
          <w:i/>
          <w:color w:val="auto"/>
          <w:sz w:val="28"/>
          <w:szCs w:val="28"/>
        </w:rPr>
        <w:t>q</w:t>
      </w:r>
      <w:r>
        <w:rPr>
          <w:rFonts w:hint="eastAsia" w:ascii="宋体" w:hAnsi="宋体"/>
          <w:b w:val="0"/>
          <w:bCs w:val="0"/>
          <w:color w:val="auto"/>
          <w:sz w:val="28"/>
          <w:szCs w:val="28"/>
          <w:vertAlign w:val="subscript"/>
        </w:rPr>
        <w:t>3d</w:t>
      </w:r>
      <w:r>
        <w:rPr>
          <w:rFonts w:hint="eastAsia" w:ascii="宋体" w:hAnsi="宋体"/>
          <w:b w:val="0"/>
          <w:bCs w:val="0"/>
          <w:color w:val="auto"/>
          <w:sz w:val="28"/>
          <w:szCs w:val="28"/>
        </w:rPr>
        <w:t>——管线分离的应用比例；</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3d</w:t>
      </w:r>
      <w:r>
        <w:rPr>
          <w:rFonts w:hint="eastAsia" w:ascii="宋体" w:hAnsi="宋体"/>
          <w:b w:val="0"/>
          <w:bCs w:val="0"/>
          <w:color w:val="auto"/>
          <w:sz w:val="28"/>
          <w:szCs w:val="28"/>
        </w:rPr>
        <w:t>——各楼层管线分离的长度，包括裸露于室内空间以及敷设在地面架空层、非承重墙体空腔和吊顶内的电气、给排水和采暖管线长度之和；</w:t>
      </w:r>
    </w:p>
    <w:p>
      <w:pPr>
        <w:rPr>
          <w:rFonts w:ascii="宋体" w:hAnsi="宋体"/>
          <w:b w:val="0"/>
          <w:bCs w:val="0"/>
          <w:color w:val="auto"/>
          <w:sz w:val="28"/>
          <w:szCs w:val="28"/>
        </w:rPr>
      </w:pPr>
      <w:r>
        <w:rPr>
          <w:rFonts w:hint="eastAsia" w:ascii="宋体" w:hAnsi="宋体"/>
          <w:b w:val="0"/>
          <w:bCs w:val="0"/>
          <w:color w:val="auto"/>
          <w:sz w:val="28"/>
          <w:szCs w:val="28"/>
        </w:rPr>
        <w:t xml:space="preserve">      </w:t>
      </w:r>
      <w:r>
        <w:rPr>
          <w:rFonts w:hint="eastAsia" w:ascii="宋体" w:hAnsi="宋体"/>
          <w:b w:val="0"/>
          <w:bCs w:val="0"/>
          <w:i/>
          <w:color w:val="auto"/>
          <w:sz w:val="28"/>
          <w:szCs w:val="28"/>
        </w:rPr>
        <w:t>A</w:t>
      </w:r>
      <w:r>
        <w:rPr>
          <w:rFonts w:hint="eastAsia" w:ascii="宋体" w:hAnsi="宋体"/>
          <w:b w:val="0"/>
          <w:bCs w:val="0"/>
          <w:color w:val="auto"/>
          <w:sz w:val="28"/>
          <w:szCs w:val="28"/>
          <w:vertAlign w:val="subscript"/>
        </w:rPr>
        <w:t>gx</w:t>
      </w:r>
      <w:r>
        <w:rPr>
          <w:rFonts w:hint="eastAsia" w:ascii="宋体" w:hAnsi="宋体"/>
          <w:b w:val="0"/>
          <w:bCs w:val="0"/>
          <w:color w:val="auto"/>
          <w:sz w:val="28"/>
          <w:szCs w:val="28"/>
        </w:rPr>
        <w:t>——各楼层电气、给排水和采暖管线总长度。</w:t>
      </w:r>
    </w:p>
    <w:p>
      <w:pPr>
        <w:rPr>
          <w:rFonts w:ascii="宋体" w:hAnsi="宋体"/>
          <w:b w:val="0"/>
          <w:bCs w:val="0"/>
          <w:color w:val="auto"/>
          <w:sz w:val="28"/>
          <w:szCs w:val="28"/>
        </w:rPr>
      </w:pPr>
      <w:r>
        <w:rPr>
          <w:rFonts w:hint="eastAsia" w:ascii="宋体" w:hAnsi="宋体"/>
          <w:b w:val="0"/>
          <w:bCs w:val="0"/>
          <w:color w:val="auto"/>
          <w:sz w:val="28"/>
          <w:szCs w:val="28"/>
        </w:rPr>
        <w:t xml:space="preserve">                 4.2 装配式建筑评价</w:t>
      </w:r>
    </w:p>
    <w:bookmarkEnd w:id="28"/>
    <w:bookmarkEnd w:id="29"/>
    <w:bookmarkEnd w:id="30"/>
    <w:bookmarkEnd w:id="31"/>
    <w:bookmarkEnd w:id="32"/>
    <w:p>
      <w:pPr>
        <w:rPr>
          <w:b w:val="0"/>
          <w:bCs w:val="0"/>
          <w:color w:val="auto"/>
          <w:sz w:val="28"/>
          <w:szCs w:val="28"/>
        </w:rPr>
      </w:pPr>
      <w:bookmarkStart w:id="33" w:name="_Toc468383432"/>
      <w:bookmarkStart w:id="34" w:name="_Toc468444621"/>
      <w:bookmarkStart w:id="35" w:name="_Toc468445345"/>
      <w:bookmarkStart w:id="36" w:name="_Toc468383690"/>
      <w:bookmarkStart w:id="37" w:name="_Toc468445276"/>
    </w:p>
    <w:p>
      <w:pPr>
        <w:rPr>
          <w:rFonts w:ascii="宋体" w:hAnsi="宋体"/>
          <w:b w:val="0"/>
          <w:bCs w:val="0"/>
          <w:color w:val="auto"/>
          <w:sz w:val="28"/>
          <w:szCs w:val="28"/>
        </w:rPr>
      </w:pPr>
      <w:r>
        <w:rPr>
          <w:rFonts w:hint="eastAsia" w:ascii="宋体" w:hAnsi="宋体"/>
          <w:b w:val="0"/>
          <w:bCs w:val="0"/>
          <w:color w:val="auto"/>
          <w:sz w:val="28"/>
          <w:szCs w:val="28"/>
        </w:rPr>
        <w:t xml:space="preserve">4.2.1 </w:t>
      </w:r>
      <w:r>
        <w:rPr>
          <w:rFonts w:hint="eastAsia" w:ascii="宋体" w:hAnsi="宋体"/>
          <w:b w:val="0"/>
          <w:bCs w:val="0"/>
          <w:color w:val="auto"/>
          <w:sz w:val="28"/>
          <w:szCs w:val="28"/>
        </w:rPr>
        <w:t>当装配式建筑的评价项目满足本导则3.0.3条规定</w:t>
      </w:r>
      <w:r>
        <w:rPr>
          <w:rFonts w:hint="eastAsia" w:ascii="宋体" w:hAnsi="宋体"/>
          <w:b w:val="0"/>
          <w:bCs w:val="0"/>
          <w:color w:val="auto"/>
          <w:sz w:val="28"/>
          <w:szCs w:val="28"/>
          <w:lang w:eastAsia="zh-CN"/>
        </w:rPr>
        <w:t>，</w:t>
      </w:r>
      <w:r>
        <w:rPr>
          <w:rFonts w:hint="eastAsia" w:ascii="宋体" w:hAnsi="宋体"/>
          <w:b w:val="0"/>
          <w:bCs w:val="0"/>
          <w:color w:val="auto"/>
          <w:sz w:val="28"/>
          <w:szCs w:val="28"/>
          <w:lang w:val="en-US" w:eastAsia="zh-CN"/>
        </w:rPr>
        <w:t>且结构部分评价分值不低于40分</w:t>
      </w:r>
      <w:r>
        <w:rPr>
          <w:rFonts w:hint="eastAsia" w:ascii="宋体" w:hAnsi="宋体"/>
          <w:b w:val="0"/>
          <w:bCs w:val="0"/>
          <w:color w:val="auto"/>
          <w:sz w:val="28"/>
          <w:szCs w:val="28"/>
        </w:rPr>
        <w:t>时，可进行装配式建筑等级评价。</w:t>
      </w:r>
    </w:p>
    <w:p>
      <w:pPr>
        <w:rPr>
          <w:rFonts w:ascii="宋体" w:hAnsi="宋体"/>
          <w:b w:val="0"/>
          <w:bCs w:val="0"/>
          <w:color w:val="auto"/>
          <w:sz w:val="28"/>
          <w:szCs w:val="28"/>
        </w:rPr>
      </w:pPr>
      <w:r>
        <w:rPr>
          <w:rFonts w:hint="eastAsia" w:ascii="宋体" w:hAnsi="宋体"/>
          <w:b w:val="0"/>
          <w:bCs w:val="0"/>
          <w:color w:val="auto"/>
          <w:sz w:val="28"/>
          <w:szCs w:val="28"/>
        </w:rPr>
        <w:t xml:space="preserve">4.2.2 </w:t>
      </w:r>
      <w:r>
        <w:rPr>
          <w:rFonts w:hint="eastAsia" w:ascii="宋体" w:hAnsi="宋体"/>
          <w:b w:val="0"/>
          <w:bCs w:val="0"/>
          <w:color w:val="auto"/>
          <w:sz w:val="28"/>
          <w:szCs w:val="28"/>
        </w:rPr>
        <w:t>装配式建筑评价等级应划分为A级、AA级、AAA级，并应符合下列规定：</w:t>
      </w:r>
    </w:p>
    <w:p>
      <w:pPr>
        <w:ind w:firstLine="560" w:firstLineChars="200"/>
        <w:rPr>
          <w:rFonts w:ascii="宋体" w:hAnsi="宋体"/>
          <w:b w:val="0"/>
          <w:bCs w:val="0"/>
          <w:color w:val="auto"/>
          <w:sz w:val="28"/>
          <w:szCs w:val="28"/>
        </w:rPr>
      </w:pPr>
      <w:r>
        <w:rPr>
          <w:rFonts w:hint="eastAsia" w:ascii="宋体" w:hAnsi="宋体"/>
          <w:b w:val="0"/>
          <w:bCs w:val="0"/>
          <w:color w:val="auto"/>
          <w:sz w:val="28"/>
          <w:szCs w:val="28"/>
        </w:rPr>
        <w:t xml:space="preserve">1 </w:t>
      </w:r>
      <w:r>
        <w:rPr>
          <w:rFonts w:hint="eastAsia" w:ascii="宋体" w:hAnsi="宋体"/>
          <w:b w:val="0"/>
          <w:bCs w:val="0"/>
          <w:color w:val="auto"/>
          <w:sz w:val="28"/>
          <w:szCs w:val="28"/>
        </w:rPr>
        <w:t xml:space="preserve"> 装配率为（60～75）%时，评价为A级装配式建筑；</w:t>
      </w:r>
    </w:p>
    <w:p>
      <w:pPr>
        <w:ind w:firstLine="560" w:firstLineChars="200"/>
        <w:rPr>
          <w:rFonts w:ascii="宋体" w:hAnsi="宋体"/>
          <w:b w:val="0"/>
          <w:bCs w:val="0"/>
          <w:color w:val="auto"/>
          <w:sz w:val="28"/>
          <w:szCs w:val="28"/>
        </w:rPr>
      </w:pPr>
      <w:r>
        <w:rPr>
          <w:rFonts w:hint="eastAsia" w:ascii="宋体" w:hAnsi="宋体"/>
          <w:b w:val="0"/>
          <w:bCs w:val="0"/>
          <w:color w:val="auto"/>
          <w:sz w:val="28"/>
          <w:szCs w:val="28"/>
        </w:rPr>
        <w:t xml:space="preserve">2 </w:t>
      </w:r>
      <w:r>
        <w:rPr>
          <w:rFonts w:hint="eastAsia" w:ascii="宋体" w:hAnsi="宋体"/>
          <w:b w:val="0"/>
          <w:bCs w:val="0"/>
          <w:color w:val="auto"/>
          <w:sz w:val="28"/>
          <w:szCs w:val="28"/>
        </w:rPr>
        <w:t xml:space="preserve"> 装配率为（76～90）%时，评价为AA级装配式建筑；</w:t>
      </w:r>
    </w:p>
    <w:p>
      <w:pPr>
        <w:ind w:firstLine="560" w:firstLineChars="200"/>
        <w:rPr>
          <w:rFonts w:ascii="宋体" w:hAnsi="宋体"/>
          <w:b w:val="0"/>
          <w:bCs w:val="0"/>
          <w:color w:val="auto"/>
          <w:sz w:val="28"/>
          <w:szCs w:val="28"/>
        </w:rPr>
      </w:pPr>
      <w:r>
        <w:rPr>
          <w:rFonts w:hint="eastAsia" w:ascii="宋体" w:hAnsi="宋体"/>
          <w:b w:val="0"/>
          <w:bCs w:val="0"/>
          <w:color w:val="auto"/>
          <w:sz w:val="28"/>
          <w:szCs w:val="28"/>
        </w:rPr>
        <w:t>3</w:t>
      </w:r>
      <w:r>
        <w:rPr>
          <w:rFonts w:hint="eastAsia" w:ascii="宋体" w:hAnsi="宋体"/>
          <w:b w:val="0"/>
          <w:bCs w:val="0"/>
          <w:color w:val="auto"/>
          <w:sz w:val="28"/>
          <w:szCs w:val="28"/>
        </w:rPr>
        <w:t xml:space="preserve">  装配率为91%及以上时，评价为AAA级装配式建筑。</w:t>
      </w:r>
    </w:p>
    <w:p>
      <w:pPr>
        <w:pStyle w:val="2"/>
        <w:spacing w:before="312" w:after="312"/>
        <w:rPr>
          <w:b w:val="0"/>
          <w:bCs w:val="0"/>
          <w:color w:val="auto"/>
          <w:szCs w:val="28"/>
        </w:rPr>
      </w:pPr>
    </w:p>
    <w:p>
      <w:pPr>
        <w:pStyle w:val="2"/>
        <w:spacing w:before="312" w:after="312"/>
        <w:rPr>
          <w:b w:val="0"/>
          <w:bCs w:val="0"/>
          <w:color w:val="auto"/>
          <w:szCs w:val="28"/>
        </w:rPr>
      </w:pPr>
    </w:p>
    <w:p>
      <w:pPr>
        <w:pStyle w:val="2"/>
        <w:spacing w:before="312" w:after="312"/>
        <w:rPr>
          <w:b w:val="0"/>
          <w:bCs w:val="0"/>
          <w:color w:val="auto"/>
          <w:szCs w:val="28"/>
        </w:rPr>
      </w:pPr>
    </w:p>
    <w:p>
      <w:pPr>
        <w:pStyle w:val="2"/>
        <w:spacing w:before="312" w:after="312"/>
        <w:rPr>
          <w:b w:val="0"/>
          <w:bCs w:val="0"/>
          <w:color w:val="auto"/>
          <w:szCs w:val="28"/>
        </w:rPr>
      </w:pPr>
    </w:p>
    <w:p>
      <w:pPr>
        <w:pStyle w:val="2"/>
        <w:spacing w:before="312" w:after="312"/>
        <w:rPr>
          <w:b w:val="0"/>
          <w:bCs w:val="0"/>
          <w:color w:val="auto"/>
          <w:szCs w:val="28"/>
        </w:rPr>
      </w:pPr>
      <w:r>
        <w:rPr>
          <w:b w:val="0"/>
          <w:bCs w:val="0"/>
          <w:color w:val="auto"/>
          <w:szCs w:val="28"/>
        </w:rPr>
        <w:t>本</w:t>
      </w:r>
      <w:r>
        <w:rPr>
          <w:rFonts w:hint="eastAsia"/>
          <w:b w:val="0"/>
          <w:bCs w:val="0"/>
          <w:color w:val="auto"/>
          <w:szCs w:val="28"/>
        </w:rPr>
        <w:t>导则</w:t>
      </w:r>
      <w:r>
        <w:rPr>
          <w:b w:val="0"/>
          <w:bCs w:val="0"/>
          <w:color w:val="auto"/>
          <w:szCs w:val="28"/>
        </w:rPr>
        <w:t>用词说明</w:t>
      </w:r>
      <w:bookmarkEnd w:id="33"/>
      <w:bookmarkEnd w:id="34"/>
      <w:bookmarkEnd w:id="35"/>
      <w:bookmarkEnd w:id="36"/>
      <w:bookmarkEnd w:id="37"/>
    </w:p>
    <w:p>
      <w:pPr>
        <w:ind w:firstLine="560" w:firstLineChars="200"/>
        <w:jc w:val="left"/>
        <w:rPr>
          <w:rFonts w:ascii="宋体" w:hAnsi="宋体"/>
          <w:b w:val="0"/>
          <w:bCs w:val="0"/>
          <w:color w:val="auto"/>
          <w:sz w:val="28"/>
          <w:szCs w:val="28"/>
        </w:rPr>
      </w:pPr>
      <w:r>
        <w:rPr>
          <w:rFonts w:ascii="宋体" w:hAnsi="宋体"/>
          <w:b w:val="0"/>
          <w:bCs w:val="0"/>
          <w:color w:val="auto"/>
          <w:sz w:val="28"/>
          <w:szCs w:val="28"/>
        </w:rPr>
        <w:t>为便于在执行本</w:t>
      </w:r>
      <w:r>
        <w:rPr>
          <w:rFonts w:hint="eastAsia" w:ascii="宋体" w:hAnsi="宋体"/>
          <w:b w:val="0"/>
          <w:bCs w:val="0"/>
          <w:color w:val="auto"/>
          <w:sz w:val="28"/>
          <w:szCs w:val="28"/>
        </w:rPr>
        <w:t>导则</w:t>
      </w:r>
      <w:r>
        <w:rPr>
          <w:rFonts w:ascii="宋体" w:hAnsi="宋体"/>
          <w:b w:val="0"/>
          <w:bCs w:val="0"/>
          <w:color w:val="auto"/>
          <w:sz w:val="28"/>
          <w:szCs w:val="28"/>
        </w:rPr>
        <w:t>时区别对待，对要求严格程度不同的用词说明如下：</w:t>
      </w:r>
    </w:p>
    <w:p>
      <w:pPr>
        <w:widowControl/>
        <w:ind w:firstLine="826" w:firstLineChars="295"/>
        <w:rPr>
          <w:b w:val="0"/>
          <w:bCs w:val="0"/>
          <w:color w:val="auto"/>
          <w:kern w:val="0"/>
          <w:sz w:val="28"/>
          <w:szCs w:val="28"/>
        </w:rPr>
      </w:pPr>
      <w:r>
        <w:rPr>
          <w:b w:val="0"/>
          <w:bCs w:val="0"/>
          <w:color w:val="auto"/>
          <w:kern w:val="0"/>
          <w:sz w:val="28"/>
          <w:szCs w:val="28"/>
        </w:rPr>
        <w:t>1</w:t>
      </w:r>
      <w:r>
        <w:rPr>
          <w:b w:val="0"/>
          <w:bCs w:val="0"/>
          <w:color w:val="auto"/>
          <w:kern w:val="0"/>
          <w:sz w:val="28"/>
          <w:szCs w:val="28"/>
        </w:rPr>
        <w:t>）表示很严格，非这样做不可的：</w:t>
      </w:r>
    </w:p>
    <w:p>
      <w:pPr>
        <w:widowControl/>
        <w:ind w:firstLine="1246" w:firstLineChars="445"/>
        <w:rPr>
          <w:b w:val="0"/>
          <w:bCs w:val="0"/>
          <w:color w:val="auto"/>
          <w:kern w:val="0"/>
          <w:sz w:val="28"/>
          <w:szCs w:val="28"/>
        </w:rPr>
      </w:pPr>
      <w:r>
        <w:rPr>
          <w:b w:val="0"/>
          <w:bCs w:val="0"/>
          <w:color w:val="auto"/>
          <w:kern w:val="0"/>
          <w:sz w:val="28"/>
          <w:szCs w:val="28"/>
        </w:rPr>
        <w:t>正面词采用</w:t>
      </w:r>
      <w:r>
        <w:rPr>
          <w:rFonts w:hint="eastAsia"/>
          <w:b w:val="0"/>
          <w:bCs w:val="0"/>
          <w:color w:val="auto"/>
          <w:kern w:val="0"/>
          <w:sz w:val="28"/>
          <w:szCs w:val="28"/>
        </w:rPr>
        <w:t>“</w:t>
      </w:r>
      <w:r>
        <w:rPr>
          <w:b w:val="0"/>
          <w:bCs w:val="0"/>
          <w:color w:val="auto"/>
          <w:kern w:val="0"/>
          <w:sz w:val="28"/>
          <w:szCs w:val="28"/>
        </w:rPr>
        <w:t>必须</w:t>
      </w:r>
      <w:r>
        <w:rPr>
          <w:rFonts w:hint="eastAsia"/>
          <w:b w:val="0"/>
          <w:bCs w:val="0"/>
          <w:color w:val="auto"/>
          <w:kern w:val="0"/>
          <w:sz w:val="28"/>
          <w:szCs w:val="28"/>
        </w:rPr>
        <w:t>”</w:t>
      </w:r>
      <w:r>
        <w:rPr>
          <w:b w:val="0"/>
          <w:bCs w:val="0"/>
          <w:color w:val="auto"/>
          <w:kern w:val="0"/>
          <w:sz w:val="28"/>
          <w:szCs w:val="28"/>
        </w:rPr>
        <w:t>，反面词采用</w:t>
      </w:r>
      <w:r>
        <w:rPr>
          <w:rFonts w:hint="eastAsia"/>
          <w:b w:val="0"/>
          <w:bCs w:val="0"/>
          <w:color w:val="auto"/>
          <w:kern w:val="0"/>
          <w:sz w:val="28"/>
          <w:szCs w:val="28"/>
        </w:rPr>
        <w:t>“</w:t>
      </w:r>
      <w:r>
        <w:rPr>
          <w:b w:val="0"/>
          <w:bCs w:val="0"/>
          <w:color w:val="auto"/>
          <w:kern w:val="0"/>
          <w:sz w:val="28"/>
          <w:szCs w:val="28"/>
        </w:rPr>
        <w:t>严禁</w:t>
      </w:r>
      <w:r>
        <w:rPr>
          <w:rFonts w:hint="eastAsia"/>
          <w:b w:val="0"/>
          <w:bCs w:val="0"/>
          <w:color w:val="auto"/>
          <w:kern w:val="0"/>
          <w:sz w:val="28"/>
          <w:szCs w:val="28"/>
        </w:rPr>
        <w:t>”</w:t>
      </w:r>
      <w:r>
        <w:rPr>
          <w:b w:val="0"/>
          <w:bCs w:val="0"/>
          <w:color w:val="auto"/>
          <w:kern w:val="0"/>
          <w:sz w:val="28"/>
          <w:szCs w:val="28"/>
        </w:rPr>
        <w:t>；</w:t>
      </w:r>
    </w:p>
    <w:p>
      <w:pPr>
        <w:widowControl/>
        <w:ind w:firstLine="826" w:firstLineChars="295"/>
        <w:rPr>
          <w:b w:val="0"/>
          <w:bCs w:val="0"/>
          <w:color w:val="auto"/>
          <w:kern w:val="0"/>
          <w:sz w:val="28"/>
          <w:szCs w:val="28"/>
        </w:rPr>
      </w:pPr>
      <w:r>
        <w:rPr>
          <w:b w:val="0"/>
          <w:bCs w:val="0"/>
          <w:color w:val="auto"/>
          <w:kern w:val="0"/>
          <w:sz w:val="28"/>
          <w:szCs w:val="28"/>
        </w:rPr>
        <w:t>2</w:t>
      </w:r>
      <w:r>
        <w:rPr>
          <w:b w:val="0"/>
          <w:bCs w:val="0"/>
          <w:color w:val="auto"/>
          <w:kern w:val="0"/>
          <w:sz w:val="28"/>
          <w:szCs w:val="28"/>
        </w:rPr>
        <w:t>）表示严格，在正常情况下均应这样做的：</w:t>
      </w:r>
    </w:p>
    <w:p>
      <w:pPr>
        <w:widowControl/>
        <w:ind w:firstLine="1246" w:firstLineChars="445"/>
        <w:rPr>
          <w:b w:val="0"/>
          <w:bCs w:val="0"/>
          <w:color w:val="auto"/>
          <w:kern w:val="0"/>
          <w:sz w:val="28"/>
          <w:szCs w:val="28"/>
        </w:rPr>
      </w:pPr>
      <w:r>
        <w:rPr>
          <w:b w:val="0"/>
          <w:bCs w:val="0"/>
          <w:color w:val="auto"/>
          <w:kern w:val="0"/>
          <w:sz w:val="28"/>
          <w:szCs w:val="28"/>
        </w:rPr>
        <w:t>正面词采用</w:t>
      </w:r>
      <w:r>
        <w:rPr>
          <w:rFonts w:hint="eastAsia"/>
          <w:b w:val="0"/>
          <w:bCs w:val="0"/>
          <w:color w:val="auto"/>
          <w:kern w:val="0"/>
          <w:sz w:val="28"/>
          <w:szCs w:val="28"/>
        </w:rPr>
        <w:t>“</w:t>
      </w:r>
      <w:r>
        <w:rPr>
          <w:b w:val="0"/>
          <w:bCs w:val="0"/>
          <w:color w:val="auto"/>
          <w:kern w:val="0"/>
          <w:sz w:val="28"/>
          <w:szCs w:val="28"/>
        </w:rPr>
        <w:t>应</w:t>
      </w:r>
      <w:r>
        <w:rPr>
          <w:rFonts w:hint="eastAsia"/>
          <w:b w:val="0"/>
          <w:bCs w:val="0"/>
          <w:color w:val="auto"/>
          <w:kern w:val="0"/>
          <w:sz w:val="28"/>
          <w:szCs w:val="28"/>
        </w:rPr>
        <w:t>”</w:t>
      </w:r>
      <w:r>
        <w:rPr>
          <w:b w:val="0"/>
          <w:bCs w:val="0"/>
          <w:color w:val="auto"/>
          <w:kern w:val="0"/>
          <w:sz w:val="28"/>
          <w:szCs w:val="28"/>
        </w:rPr>
        <w:t>，反面词采用</w:t>
      </w:r>
      <w:r>
        <w:rPr>
          <w:rFonts w:hint="eastAsia"/>
          <w:b w:val="0"/>
          <w:bCs w:val="0"/>
          <w:color w:val="auto"/>
          <w:kern w:val="0"/>
          <w:sz w:val="28"/>
          <w:szCs w:val="28"/>
        </w:rPr>
        <w:t>“</w:t>
      </w:r>
      <w:r>
        <w:rPr>
          <w:b w:val="0"/>
          <w:bCs w:val="0"/>
          <w:color w:val="auto"/>
          <w:kern w:val="0"/>
          <w:sz w:val="28"/>
          <w:szCs w:val="28"/>
        </w:rPr>
        <w:t>不应</w:t>
      </w:r>
      <w:r>
        <w:rPr>
          <w:rFonts w:hint="eastAsia"/>
          <w:b w:val="0"/>
          <w:bCs w:val="0"/>
          <w:color w:val="auto"/>
          <w:kern w:val="0"/>
          <w:sz w:val="28"/>
          <w:szCs w:val="28"/>
        </w:rPr>
        <w:t>”</w:t>
      </w:r>
      <w:r>
        <w:rPr>
          <w:b w:val="0"/>
          <w:bCs w:val="0"/>
          <w:color w:val="auto"/>
          <w:kern w:val="0"/>
          <w:sz w:val="28"/>
          <w:szCs w:val="28"/>
        </w:rPr>
        <w:t>或</w:t>
      </w:r>
      <w:r>
        <w:rPr>
          <w:rFonts w:hint="eastAsia"/>
          <w:b w:val="0"/>
          <w:bCs w:val="0"/>
          <w:color w:val="auto"/>
          <w:kern w:val="0"/>
          <w:sz w:val="28"/>
          <w:szCs w:val="28"/>
        </w:rPr>
        <w:t>“</w:t>
      </w:r>
      <w:r>
        <w:rPr>
          <w:b w:val="0"/>
          <w:bCs w:val="0"/>
          <w:color w:val="auto"/>
          <w:kern w:val="0"/>
          <w:sz w:val="28"/>
          <w:szCs w:val="28"/>
        </w:rPr>
        <w:t>不得</w:t>
      </w:r>
      <w:r>
        <w:rPr>
          <w:rFonts w:hint="eastAsia"/>
          <w:b w:val="0"/>
          <w:bCs w:val="0"/>
          <w:color w:val="auto"/>
          <w:kern w:val="0"/>
          <w:sz w:val="28"/>
          <w:szCs w:val="28"/>
        </w:rPr>
        <w:t>”</w:t>
      </w:r>
      <w:r>
        <w:rPr>
          <w:b w:val="0"/>
          <w:bCs w:val="0"/>
          <w:color w:val="auto"/>
          <w:kern w:val="0"/>
          <w:sz w:val="28"/>
          <w:szCs w:val="28"/>
        </w:rPr>
        <w:t>；</w:t>
      </w:r>
    </w:p>
    <w:p>
      <w:pPr>
        <w:widowControl/>
        <w:ind w:firstLine="826" w:firstLineChars="295"/>
        <w:rPr>
          <w:b w:val="0"/>
          <w:bCs w:val="0"/>
          <w:color w:val="auto"/>
          <w:kern w:val="0"/>
          <w:sz w:val="28"/>
          <w:szCs w:val="28"/>
        </w:rPr>
      </w:pPr>
      <w:r>
        <w:rPr>
          <w:b w:val="0"/>
          <w:bCs w:val="0"/>
          <w:color w:val="auto"/>
          <w:kern w:val="0"/>
          <w:sz w:val="28"/>
          <w:szCs w:val="28"/>
        </w:rPr>
        <w:t>3</w:t>
      </w:r>
      <w:r>
        <w:rPr>
          <w:b w:val="0"/>
          <w:bCs w:val="0"/>
          <w:color w:val="auto"/>
          <w:kern w:val="0"/>
          <w:sz w:val="28"/>
          <w:szCs w:val="28"/>
        </w:rPr>
        <w:t>）表示允许稍有选择，在条件许可时首先应这样做的：</w:t>
      </w:r>
    </w:p>
    <w:p>
      <w:pPr>
        <w:widowControl/>
        <w:ind w:firstLine="1246" w:firstLineChars="445"/>
        <w:rPr>
          <w:b w:val="0"/>
          <w:bCs w:val="0"/>
          <w:color w:val="auto"/>
          <w:kern w:val="0"/>
          <w:sz w:val="28"/>
          <w:szCs w:val="28"/>
        </w:rPr>
      </w:pPr>
      <w:r>
        <w:rPr>
          <w:b w:val="0"/>
          <w:bCs w:val="0"/>
          <w:color w:val="auto"/>
          <w:kern w:val="0"/>
          <w:sz w:val="28"/>
          <w:szCs w:val="28"/>
        </w:rPr>
        <w:t>正面词采用</w:t>
      </w:r>
      <w:r>
        <w:rPr>
          <w:rFonts w:hint="eastAsia"/>
          <w:b w:val="0"/>
          <w:bCs w:val="0"/>
          <w:color w:val="auto"/>
          <w:kern w:val="0"/>
          <w:sz w:val="28"/>
          <w:szCs w:val="28"/>
        </w:rPr>
        <w:t>“</w:t>
      </w:r>
      <w:r>
        <w:rPr>
          <w:b w:val="0"/>
          <w:bCs w:val="0"/>
          <w:color w:val="auto"/>
          <w:kern w:val="0"/>
          <w:sz w:val="28"/>
          <w:szCs w:val="28"/>
        </w:rPr>
        <w:t>宜</w:t>
      </w:r>
      <w:r>
        <w:rPr>
          <w:rFonts w:hint="eastAsia"/>
          <w:b w:val="0"/>
          <w:bCs w:val="0"/>
          <w:color w:val="auto"/>
          <w:kern w:val="0"/>
          <w:sz w:val="28"/>
          <w:szCs w:val="28"/>
        </w:rPr>
        <w:t>”</w:t>
      </w:r>
      <w:r>
        <w:rPr>
          <w:b w:val="0"/>
          <w:bCs w:val="0"/>
          <w:color w:val="auto"/>
          <w:kern w:val="0"/>
          <w:sz w:val="28"/>
          <w:szCs w:val="28"/>
        </w:rPr>
        <w:t>，反面词采用</w:t>
      </w:r>
      <w:r>
        <w:rPr>
          <w:rFonts w:hint="eastAsia"/>
          <w:b w:val="0"/>
          <w:bCs w:val="0"/>
          <w:color w:val="auto"/>
          <w:kern w:val="0"/>
          <w:sz w:val="28"/>
          <w:szCs w:val="28"/>
        </w:rPr>
        <w:t>“</w:t>
      </w:r>
      <w:r>
        <w:rPr>
          <w:b w:val="0"/>
          <w:bCs w:val="0"/>
          <w:color w:val="auto"/>
          <w:kern w:val="0"/>
          <w:sz w:val="28"/>
          <w:szCs w:val="28"/>
        </w:rPr>
        <w:t>不宜</w:t>
      </w:r>
      <w:r>
        <w:rPr>
          <w:rFonts w:hint="eastAsia"/>
          <w:b w:val="0"/>
          <w:bCs w:val="0"/>
          <w:color w:val="auto"/>
          <w:kern w:val="0"/>
          <w:sz w:val="28"/>
          <w:szCs w:val="28"/>
        </w:rPr>
        <w:t>”</w:t>
      </w:r>
      <w:r>
        <w:rPr>
          <w:b w:val="0"/>
          <w:bCs w:val="0"/>
          <w:color w:val="auto"/>
          <w:kern w:val="0"/>
          <w:sz w:val="28"/>
          <w:szCs w:val="28"/>
        </w:rPr>
        <w:t>；</w:t>
      </w:r>
    </w:p>
    <w:p>
      <w:pPr>
        <w:widowControl/>
        <w:ind w:firstLine="826" w:firstLineChars="295"/>
        <w:rPr>
          <w:b w:val="0"/>
          <w:bCs w:val="0"/>
          <w:color w:val="auto"/>
          <w:kern w:val="0"/>
          <w:sz w:val="28"/>
          <w:szCs w:val="28"/>
        </w:rPr>
      </w:pPr>
      <w:r>
        <w:rPr>
          <w:b w:val="0"/>
          <w:bCs w:val="0"/>
          <w:color w:val="auto"/>
          <w:kern w:val="0"/>
          <w:sz w:val="28"/>
          <w:szCs w:val="28"/>
        </w:rPr>
        <w:t>4</w:t>
      </w:r>
      <w:r>
        <w:rPr>
          <w:b w:val="0"/>
          <w:bCs w:val="0"/>
          <w:color w:val="auto"/>
          <w:kern w:val="0"/>
          <w:sz w:val="28"/>
          <w:szCs w:val="28"/>
        </w:rPr>
        <w:t>）表示有选择，在一定条件下可以这样做的，采用</w:t>
      </w:r>
      <w:r>
        <w:rPr>
          <w:rFonts w:hint="eastAsia"/>
          <w:b w:val="0"/>
          <w:bCs w:val="0"/>
          <w:color w:val="auto"/>
          <w:kern w:val="0"/>
          <w:sz w:val="28"/>
          <w:szCs w:val="28"/>
        </w:rPr>
        <w:t>“</w:t>
      </w:r>
      <w:r>
        <w:rPr>
          <w:b w:val="0"/>
          <w:bCs w:val="0"/>
          <w:color w:val="auto"/>
          <w:kern w:val="0"/>
          <w:sz w:val="28"/>
          <w:szCs w:val="28"/>
        </w:rPr>
        <w:t>可</w:t>
      </w:r>
      <w:r>
        <w:rPr>
          <w:rFonts w:hint="eastAsia"/>
          <w:b w:val="0"/>
          <w:bCs w:val="0"/>
          <w:color w:val="auto"/>
          <w:kern w:val="0"/>
          <w:sz w:val="28"/>
          <w:szCs w:val="28"/>
        </w:rPr>
        <w:t>”</w:t>
      </w:r>
      <w:r>
        <w:rPr>
          <w:b w:val="0"/>
          <w:bCs w:val="0"/>
          <w:color w:val="auto"/>
          <w:kern w:val="0"/>
          <w:sz w:val="28"/>
          <w:szCs w:val="28"/>
        </w:rPr>
        <w:t>。</w:t>
      </w:r>
    </w:p>
    <w:p>
      <w:pPr>
        <w:ind w:firstLine="560" w:firstLineChars="200"/>
        <w:jc w:val="left"/>
        <w:rPr>
          <w:rFonts w:ascii="宋体" w:hAnsi="宋体"/>
          <w:b w:val="0"/>
          <w:bCs w:val="0"/>
          <w:color w:val="auto"/>
          <w:sz w:val="28"/>
          <w:szCs w:val="28"/>
        </w:rPr>
        <w:sectPr>
          <w:pgSz w:w="11906" w:h="16838"/>
          <w:pgMar w:top="1440" w:right="1800" w:bottom="1440" w:left="1800" w:header="851" w:footer="992" w:gutter="0"/>
          <w:cols w:space="425" w:num="1"/>
          <w:docGrid w:type="lines" w:linePitch="312" w:charSpace="0"/>
        </w:sectPr>
      </w:pPr>
    </w:p>
    <w:p>
      <w:pPr>
        <w:pStyle w:val="2"/>
        <w:spacing w:before="312" w:after="312"/>
        <w:ind w:firstLine="2800" w:firstLineChars="1000"/>
        <w:jc w:val="both"/>
        <w:rPr>
          <w:b w:val="0"/>
          <w:bCs w:val="0"/>
          <w:color w:val="auto"/>
          <w:szCs w:val="28"/>
        </w:rPr>
      </w:pPr>
      <w:bookmarkStart w:id="38" w:name="_Toc468445277"/>
      <w:bookmarkStart w:id="39" w:name="_Toc468383433"/>
      <w:bookmarkStart w:id="40" w:name="_Toc468445346"/>
      <w:bookmarkStart w:id="41" w:name="_Toc468444622"/>
      <w:bookmarkStart w:id="42" w:name="_Toc468383691"/>
      <w:r>
        <w:rPr>
          <w:rFonts w:hint="eastAsia"/>
          <w:b w:val="0"/>
          <w:bCs w:val="0"/>
          <w:color w:val="auto"/>
          <w:szCs w:val="28"/>
        </w:rPr>
        <w:t>引用标准名录</w:t>
      </w:r>
      <w:bookmarkEnd w:id="38"/>
      <w:bookmarkEnd w:id="39"/>
      <w:bookmarkEnd w:id="40"/>
      <w:bookmarkEnd w:id="41"/>
      <w:bookmarkEnd w:id="42"/>
    </w:p>
    <w:p>
      <w:pPr>
        <w:rPr>
          <w:b w:val="0"/>
          <w:bCs w:val="0"/>
          <w:color w:val="auto"/>
          <w:sz w:val="28"/>
          <w:szCs w:val="28"/>
        </w:rPr>
      </w:pPr>
      <w:r>
        <w:rPr>
          <w:rFonts w:hint="eastAsia"/>
          <w:b w:val="0"/>
          <w:bCs w:val="0"/>
          <w:color w:val="auto"/>
          <w:sz w:val="28"/>
          <w:szCs w:val="28"/>
        </w:rPr>
        <w:t>《装配式建筑评价标准》GBT51129</w:t>
      </w:r>
    </w:p>
    <w:p>
      <w:pPr>
        <w:rPr>
          <w:rFonts w:hint="eastAsia"/>
          <w:b w:val="0"/>
          <w:bCs w:val="0"/>
          <w:color w:val="auto"/>
          <w:sz w:val="28"/>
          <w:szCs w:val="28"/>
        </w:rPr>
        <w:sectPr>
          <w:footerReference r:id="rId9" w:type="default"/>
          <w:pgSz w:w="11906" w:h="16838"/>
          <w:pgMar w:top="1440" w:right="1800" w:bottom="1440" w:left="1800" w:header="851" w:footer="992" w:gutter="0"/>
          <w:cols w:space="425" w:num="1"/>
          <w:docGrid w:type="lines" w:linePitch="312" w:charSpace="0"/>
        </w:sectPr>
      </w:pPr>
      <w:r>
        <w:rPr>
          <w:rFonts w:hint="eastAsia"/>
          <w:b w:val="0"/>
          <w:bCs w:val="0"/>
          <w:color w:val="auto"/>
          <w:sz w:val="28"/>
          <w:szCs w:val="28"/>
        </w:rPr>
        <w:t>《绿色建筑评价标准》GB</w:t>
      </w:r>
      <w:r>
        <w:rPr>
          <w:rFonts w:hint="eastAsia" w:asciiTheme="minorEastAsia" w:hAnsiTheme="minorEastAsia" w:eastAsiaTheme="minorEastAsia" w:cstheme="minorEastAsia"/>
          <w:b w:val="0"/>
          <w:bCs w:val="0"/>
          <w:color w:val="auto"/>
          <w:sz w:val="28"/>
          <w:szCs w:val="28"/>
        </w:rPr>
        <w:t>/</w:t>
      </w:r>
      <w:r>
        <w:rPr>
          <w:rFonts w:hint="eastAsia"/>
          <w:b w:val="0"/>
          <w:bCs w:val="0"/>
          <w:color w:val="auto"/>
          <w:sz w:val="28"/>
          <w:szCs w:val="28"/>
        </w:rPr>
        <w:t>T50378</w:t>
      </w:r>
    </w:p>
    <w:p>
      <w:pPr>
        <w:pStyle w:val="2"/>
        <w:spacing w:before="312" w:after="312"/>
        <w:jc w:val="center"/>
        <w:rPr>
          <w:rFonts w:hint="eastAsia"/>
          <w:b w:val="0"/>
          <w:bCs w:val="0"/>
          <w:color w:val="auto"/>
          <w:szCs w:val="28"/>
          <w:lang w:val="en-US" w:eastAsia="zh-CN"/>
        </w:rPr>
      </w:pPr>
      <w:r>
        <w:rPr>
          <w:rFonts w:hint="eastAsia"/>
          <w:b w:val="0"/>
          <w:bCs w:val="0"/>
          <w:color w:val="auto"/>
          <w:szCs w:val="28"/>
          <w:lang w:val="en-US" w:eastAsia="zh-CN"/>
        </w:rPr>
        <w:t>附件</w:t>
      </w:r>
    </w:p>
    <w:p>
      <w:pPr>
        <w:jc w:val="center"/>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装配式建筑加分表</w:t>
      </w:r>
    </w:p>
    <w:tbl>
      <w:tblPr>
        <w:tblStyle w:val="20"/>
        <w:tblW w:w="8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2670"/>
        <w:gridCol w:w="10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highlight w:val="yellow"/>
              </w:rPr>
            </w:pPr>
            <w:r>
              <w:rPr>
                <w:rFonts w:hint="eastAsia" w:asciiTheme="minorEastAsia" w:hAnsiTheme="minorEastAsia" w:eastAsiaTheme="minorEastAsia" w:cstheme="minorEastAsia"/>
                <w:b w:val="0"/>
                <w:bCs w:val="0"/>
                <w:color w:val="auto"/>
              </w:rPr>
              <w:t>评价项目</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评 价 指 标</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评价</w:t>
            </w:r>
          </w:p>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分值</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最高</w:t>
            </w:r>
          </w:p>
          <w:p>
            <w:pPr>
              <w:spacing w:line="240" w:lineRule="auto"/>
              <w:jc w:val="center"/>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5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highlight w:val="yellow"/>
              </w:rPr>
            </w:pPr>
            <w:r>
              <w:rPr>
                <w:rFonts w:hint="eastAsia" w:asciiTheme="minorEastAsia" w:hAnsiTheme="minorEastAsia" w:eastAsiaTheme="minorEastAsia" w:cstheme="minorEastAsia"/>
                <w:b w:val="0"/>
                <w:bCs w:val="0"/>
                <w:color w:val="auto"/>
              </w:rPr>
              <w:t>BIM应用</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设计阶段</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2</w:t>
            </w:r>
          </w:p>
        </w:tc>
        <w:tc>
          <w:tcPr>
            <w:tcW w:w="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5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施工阶段</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eastAsia="zh-CN"/>
              </w:rPr>
            </w:pPr>
            <w:r>
              <w:rPr>
                <w:rFonts w:hint="eastAsia" w:asciiTheme="minorEastAsia" w:hAnsiTheme="minorEastAsia" w:eastAsiaTheme="minorEastAsia" w:cstheme="minorEastAsia"/>
                <w:b w:val="0"/>
                <w:bCs w:val="0"/>
                <w:color w:val="auto"/>
                <w:lang w:val="en-US" w:eastAsia="zh-CN"/>
              </w:rPr>
              <w:t>2</w:t>
            </w:r>
          </w:p>
        </w:tc>
        <w:tc>
          <w:tcPr>
            <w:tcW w:w="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heme="minorEastAsia" w:hAnsiTheme="minorEastAsia" w:eastAsiaTheme="minorEastAsia" w:cstheme="minorEastAsia"/>
                <w:b w:val="0"/>
                <w:bCs w:val="0"/>
                <w:color w:val="auto"/>
                <w:highlight w:val="yellow"/>
                <w:lang w:val="en-US" w:eastAsia="zh-CN"/>
              </w:rPr>
            </w:pPr>
            <w:r>
              <w:rPr>
                <w:rFonts w:hint="eastAsia" w:asciiTheme="minorEastAsia" w:hAnsiTheme="minorEastAsia" w:eastAsiaTheme="minorEastAsia" w:cstheme="minorEastAsia"/>
                <w:b w:val="0"/>
                <w:bCs w:val="0"/>
                <w:color w:val="auto"/>
                <w:lang w:val="en-US" w:eastAsia="zh-CN"/>
              </w:rPr>
              <w:t>管理模式</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EPC工程总承包模式装</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宋体" w:hAnsi="宋体" w:cs="宋体"/>
                <w:b w:val="0"/>
                <w:bCs w:val="0"/>
                <w:color w:val="auto"/>
                <w:sz w:val="21"/>
                <w:szCs w:val="21"/>
              </w:rPr>
            </w:pPr>
            <w:r>
              <w:rPr>
                <w:rFonts w:hint="eastAsia" w:ascii="宋体" w:hAnsi="宋体" w:cs="宋体"/>
                <w:b w:val="0"/>
                <w:bCs w:val="0"/>
                <w:color w:val="auto"/>
                <w:sz w:val="21"/>
                <w:szCs w:val="21"/>
              </w:rPr>
              <w:t>外围护混凝土构件采用</w:t>
            </w:r>
          </w:p>
          <w:p>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hint="eastAsia" w:ascii="宋体" w:hAnsi="宋体" w:cs="宋体"/>
                <w:b w:val="0"/>
                <w:bCs w:val="0"/>
                <w:color w:val="auto"/>
                <w:sz w:val="21"/>
                <w:szCs w:val="21"/>
                <w:lang w:eastAsia="zh-CN"/>
              </w:rPr>
              <w:t>保温免拆</w:t>
            </w:r>
            <w:r>
              <w:rPr>
                <w:rFonts w:hint="eastAsia" w:ascii="宋体" w:hAnsi="宋体" w:cs="宋体"/>
                <w:b w:val="0"/>
                <w:bCs w:val="0"/>
                <w:color w:val="auto"/>
                <w:sz w:val="21"/>
                <w:szCs w:val="21"/>
              </w:rPr>
              <w:t>模板</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宋体" w:hAnsi="宋体" w:eastAsia="宋体" w:cs="宋体"/>
                <w:b w:val="0"/>
                <w:bCs w:val="0"/>
                <w:color w:val="auto"/>
                <w:kern w:val="2"/>
                <w:sz w:val="21"/>
                <w:szCs w:val="21"/>
                <w:lang w:val="en-US" w:eastAsia="zh-CN" w:bidi="ar-SA"/>
              </w:rPr>
            </w:pPr>
            <w:r>
              <w:rPr>
                <w:rFonts w:hint="eastAsia" w:ascii="Times New Roman" w:hAnsi="Times New Roman"/>
                <w:b w:val="0"/>
                <w:bCs w:val="0"/>
                <w:color w:val="auto"/>
                <w:sz w:val="21"/>
                <w:szCs w:val="21"/>
              </w:rPr>
              <w:t>5</w:t>
            </w:r>
            <w:r>
              <w:rPr>
                <w:rFonts w:ascii="Times New Roman" w:hAnsi="Times New Roman"/>
                <w:b w:val="0"/>
                <w:bCs w:val="0"/>
                <w:color w:val="auto"/>
                <w:sz w:val="21"/>
                <w:szCs w:val="21"/>
              </w:rPr>
              <w:t>0%</w:t>
            </w:r>
            <w:r>
              <w:rPr>
                <w:rFonts w:hint="eastAsia" w:ascii="宋体" w:hAnsi="宋体" w:cs="宋体"/>
                <w:b w:val="0"/>
                <w:bCs w:val="0"/>
                <w:color w:val="auto"/>
                <w:sz w:val="21"/>
                <w:szCs w:val="21"/>
              </w:rPr>
              <w:t>≤比例</w:t>
            </w:r>
            <w:r>
              <w:rPr>
                <w:rFonts w:hint="eastAsia" w:ascii="宋体" w:hAnsi="宋体" w:cs="宋体"/>
                <w:b w:val="0"/>
                <w:bCs w:val="0"/>
                <w:color w:val="auto"/>
                <w:sz w:val="21"/>
                <w:szCs w:val="21"/>
                <w:lang w:eastAsia="zh-CN"/>
              </w:rPr>
              <w:t>≤</w:t>
            </w:r>
            <w:r>
              <w:rPr>
                <w:rFonts w:ascii="Times New Roman" w:hAnsi="Times New Roman"/>
                <w:b w:val="0"/>
                <w:bCs w:val="0"/>
                <w:color w:val="auto"/>
                <w:sz w:val="21"/>
                <w:szCs w:val="21"/>
              </w:rPr>
              <w:t>80%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b w:val="0"/>
                <w:bCs w:val="0"/>
                <w:color w:val="auto"/>
                <w:sz w:val="21"/>
                <w:szCs w:val="21"/>
                <w:lang w:val="en-US" w:eastAsia="zh-CN"/>
              </w:rPr>
              <w:t>1</w:t>
            </w:r>
            <w:r>
              <w:rPr>
                <w:rFonts w:hint="eastAsia" w:ascii="Times New Roman" w:hAnsi="宋体"/>
                <w:b w:val="0"/>
                <w:bCs w:val="0"/>
                <w:color w:val="auto"/>
                <w:sz w:val="21"/>
                <w:szCs w:val="21"/>
              </w:rPr>
              <w:t>～</w:t>
            </w:r>
            <w:r>
              <w:rPr>
                <w:rFonts w:hint="eastAsia" w:ascii="Times New Roman" w:hAnsi="Times New Roman"/>
                <w:b w:val="0"/>
                <w:bCs w:val="0"/>
                <w:color w:val="auto"/>
                <w:sz w:val="21"/>
                <w:szCs w:val="21"/>
                <w:lang w:val="en-US" w:eastAsia="zh-CN"/>
              </w:rPr>
              <w:t>3</w:t>
            </w:r>
            <w:r>
              <w:rPr>
                <w:rFonts w:ascii="Times New Roman" w:hAnsi="Times New Roman"/>
                <w:b w:val="0"/>
                <w:bCs w:val="0"/>
                <w:color w:val="auto"/>
                <w:sz w:val="21"/>
                <w:szCs w:val="21"/>
                <w:vertAlign w:val="superscript"/>
              </w:rPr>
              <w:t>*</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竖向结构采用高精度</w:t>
            </w:r>
          </w:p>
          <w:p>
            <w:pPr>
              <w:spacing w:line="240" w:lineRule="auto"/>
              <w:jc w:val="center"/>
              <w:rPr>
                <w:rFonts w:hint="eastAsia" w:asciiTheme="minorEastAsia" w:hAnsiTheme="minorEastAsia" w:eastAsiaTheme="minorEastAsia" w:cstheme="minorEastAsia"/>
                <w:b w:val="0"/>
                <w:bCs w:val="0"/>
                <w:color w:val="auto"/>
                <w:kern w:val="2"/>
                <w:sz w:val="24"/>
                <w:szCs w:val="24"/>
                <w:highlight w:val="cyan"/>
                <w:lang w:val="en-US" w:eastAsia="zh-CN" w:bidi="ar-SA"/>
              </w:rPr>
            </w:pPr>
            <w:r>
              <w:rPr>
                <w:rFonts w:hint="eastAsia" w:asciiTheme="minorEastAsia" w:hAnsiTheme="minorEastAsia" w:eastAsiaTheme="minorEastAsia" w:cstheme="minorEastAsia"/>
                <w:b w:val="0"/>
                <w:bCs w:val="0"/>
                <w:color w:val="auto"/>
              </w:rPr>
              <w:t>模板</w:t>
            </w:r>
            <w:r>
              <w:rPr>
                <w:rFonts w:hint="eastAsia" w:asciiTheme="minorEastAsia" w:hAnsiTheme="minorEastAsia" w:eastAsiaTheme="minorEastAsia" w:cstheme="minorEastAsia"/>
                <w:b w:val="0"/>
                <w:bCs w:val="0"/>
                <w:color w:val="auto"/>
                <w:lang w:val="en-US" w:eastAsia="zh-CN"/>
              </w:rPr>
              <w:t>施工工艺</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rPr>
              <w:t>比例≥</w:t>
            </w:r>
            <w:r>
              <w:rPr>
                <w:rFonts w:hint="eastAsia" w:asciiTheme="minorEastAsia" w:hAnsiTheme="minorEastAsia" w:eastAsiaTheme="minorEastAsia" w:cstheme="minorEastAsia"/>
                <w:b w:val="0"/>
                <w:bCs w:val="0"/>
                <w:color w:val="auto"/>
                <w:lang w:val="en-US" w:eastAsia="zh-CN"/>
              </w:rPr>
              <w:t>7</w:t>
            </w:r>
            <w:r>
              <w:rPr>
                <w:rFonts w:hint="eastAsia" w:asciiTheme="minorEastAsia" w:hAnsiTheme="minorEastAsia" w:eastAsiaTheme="minorEastAsia" w:cstheme="minorEastAsia"/>
                <w:b w:val="0"/>
                <w:bCs w:val="0"/>
                <w:color w:val="auto"/>
              </w:rPr>
              <w:t>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lang w:val="en-US" w:eastAsia="zh-CN"/>
              </w:rPr>
              <w:t>3</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宋体" w:hAnsi="宋体" w:cs="宋体"/>
                <w:b w:val="0"/>
                <w:bCs w:val="0"/>
                <w:color w:val="auto"/>
                <w:sz w:val="21"/>
                <w:szCs w:val="21"/>
                <w:lang w:val="en-US" w:eastAsia="zh-CN"/>
              </w:rPr>
            </w:pPr>
            <w:r>
              <w:rPr>
                <w:rFonts w:hint="eastAsia" w:asciiTheme="minorEastAsia" w:hAnsiTheme="minorEastAsia" w:eastAsiaTheme="minorEastAsia" w:cstheme="minorEastAsia"/>
                <w:b w:val="0"/>
                <w:bCs w:val="0"/>
                <w:color w:val="auto"/>
                <w:lang w:val="en-US" w:eastAsia="zh-CN"/>
              </w:rPr>
              <w:t>围护墙免抹灰</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imes New Roman" w:hAnsi="Times New Roman" w:eastAsia="宋体"/>
                <w:b w:val="0"/>
                <w:bCs w:val="0"/>
                <w:color w:val="auto"/>
                <w:sz w:val="21"/>
                <w:szCs w:val="21"/>
                <w:lang w:val="en-US" w:eastAsia="zh-CN"/>
              </w:rPr>
            </w:pPr>
            <w:r>
              <w:rPr>
                <w:rFonts w:hint="eastAsia"/>
                <w:b w:val="0"/>
                <w:bCs w:val="0"/>
                <w:color w:val="auto"/>
                <w:sz w:val="21"/>
                <w:szCs w:val="21"/>
                <w:lang w:val="en-US" w:eastAsia="zh-CN"/>
              </w:rPr>
              <w:t>比例≥80%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imes New Roman" w:hAnsi="Times New Roman"/>
                <w:b w:val="0"/>
                <w:bCs w:val="0"/>
                <w:color w:val="auto"/>
                <w:sz w:val="21"/>
                <w:szCs w:val="21"/>
                <w:lang w:val="en-US" w:eastAsia="zh-CN"/>
              </w:rPr>
            </w:pPr>
            <w:r>
              <w:rPr>
                <w:rFonts w:hint="eastAsia"/>
                <w:b w:val="0"/>
                <w:bCs w:val="0"/>
                <w:color w:val="auto"/>
                <w:sz w:val="21"/>
                <w:szCs w:val="21"/>
                <w:lang w:val="en-US" w:eastAsia="zh-CN"/>
              </w:rPr>
              <w:t>3</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imes New Roman" w:hAnsi="Times New Roman"/>
                <w:b w:val="0"/>
                <w:bCs w:val="0"/>
                <w:color w:val="auto"/>
                <w:sz w:val="21"/>
                <w:szCs w:val="21"/>
                <w:lang w:val="en-US" w:eastAsia="zh-CN"/>
              </w:rPr>
            </w:pPr>
            <w:r>
              <w:rPr>
                <w:rFonts w:hint="eastAsia"/>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采用可再生能源技术项目</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符合设计标准要求</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35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highlight w:val="yellow"/>
              </w:rPr>
            </w:pPr>
            <w:r>
              <w:rPr>
                <w:rFonts w:hint="eastAsia" w:asciiTheme="minorEastAsia" w:hAnsiTheme="minorEastAsia" w:eastAsiaTheme="minorEastAsia" w:cstheme="minorEastAsia"/>
                <w:b w:val="0"/>
                <w:bCs w:val="0"/>
                <w:color w:val="auto"/>
              </w:rPr>
              <w:t>绿色建筑</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lang w:val="en-US" w:eastAsia="zh-CN"/>
              </w:rPr>
              <w:t>一</w:t>
            </w:r>
            <w:r>
              <w:rPr>
                <w:rFonts w:hint="eastAsia" w:asciiTheme="minorEastAsia" w:hAnsiTheme="minorEastAsia" w:eastAsiaTheme="minorEastAsia" w:cstheme="minorEastAsia"/>
                <w:b w:val="0"/>
                <w:bCs w:val="0"/>
                <w:color w:val="auto"/>
              </w:rPr>
              <w:t>星级</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eastAsia="zh-CN"/>
              </w:rPr>
            </w:pPr>
            <w:r>
              <w:rPr>
                <w:rFonts w:hint="eastAsia" w:asciiTheme="minorEastAsia" w:hAnsiTheme="minorEastAsia" w:eastAsiaTheme="minorEastAsia" w:cstheme="minorEastAsia"/>
                <w:b w:val="0"/>
                <w:bCs w:val="0"/>
                <w:color w:val="auto"/>
                <w:lang w:val="en-US" w:eastAsia="zh-CN"/>
              </w:rPr>
              <w:t>1</w:t>
            </w:r>
          </w:p>
        </w:tc>
        <w:tc>
          <w:tcPr>
            <w:tcW w:w="940" w:type="dxa"/>
            <w:vMerge w:val="restart"/>
            <w:tcBorders>
              <w:top w:val="single" w:color="000000" w:sz="8" w:space="0"/>
              <w:left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5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二星级</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c>
          <w:tcPr>
            <w:tcW w:w="940" w:type="dxa"/>
            <w:vMerge w:val="continue"/>
            <w:tcBorders>
              <w:left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三星级</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w:t>
            </w:r>
          </w:p>
        </w:tc>
        <w:tc>
          <w:tcPr>
            <w:tcW w:w="940" w:type="dxa"/>
            <w:vMerge w:val="continue"/>
            <w:tcBorders>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现场现浇混凝土采用</w:t>
            </w:r>
          </w:p>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可再生骨料</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再生骨料超过30%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c>
          <w:tcPr>
            <w:tcW w:w="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5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再生骨料超过50%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3</w:t>
            </w:r>
          </w:p>
        </w:tc>
        <w:tc>
          <w:tcPr>
            <w:tcW w:w="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55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highlight w:val="yellow"/>
              </w:rPr>
            </w:pPr>
            <w:r>
              <w:rPr>
                <w:rFonts w:hint="eastAsia" w:asciiTheme="minorEastAsia" w:hAnsiTheme="minorEastAsia" w:eastAsiaTheme="minorEastAsia" w:cstheme="minorEastAsia"/>
                <w:b w:val="0"/>
                <w:bCs w:val="0"/>
                <w:color w:val="auto"/>
              </w:rPr>
              <w:t>施工现场采用可再生部品技术</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道路（场地）比例≥70%%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c>
          <w:tcPr>
            <w:tcW w:w="94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55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围墙比例≥70%%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w:t>
            </w:r>
          </w:p>
        </w:tc>
        <w:tc>
          <w:tcPr>
            <w:tcW w:w="94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钢筋制品工厂化加工配送</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比例≥70%</w:t>
            </w: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default"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5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highlight w:val="yellow"/>
              </w:rPr>
            </w:pPr>
            <w:r>
              <w:rPr>
                <w:rFonts w:hint="eastAsia" w:asciiTheme="minorEastAsia" w:hAnsiTheme="minorEastAsia" w:eastAsiaTheme="minorEastAsia" w:cstheme="minorEastAsia"/>
                <w:b w:val="0"/>
                <w:bCs w:val="0"/>
                <w:color w:val="auto"/>
              </w:rPr>
              <w:t>预制</w:t>
            </w:r>
            <w:r>
              <w:rPr>
                <w:rFonts w:hint="eastAsia" w:asciiTheme="minorEastAsia" w:hAnsiTheme="minorEastAsia" w:eastAsiaTheme="minorEastAsia" w:cstheme="minorEastAsia"/>
                <w:b w:val="0"/>
                <w:bCs w:val="0"/>
                <w:color w:val="auto"/>
                <w:lang w:val="en-US" w:eastAsia="zh-CN"/>
              </w:rPr>
              <w:t>排</w:t>
            </w:r>
            <w:r>
              <w:rPr>
                <w:rFonts w:hint="eastAsia" w:asciiTheme="minorEastAsia" w:hAnsiTheme="minorEastAsia" w:eastAsiaTheme="minorEastAsia" w:cstheme="minorEastAsia"/>
                <w:b w:val="0"/>
                <w:bCs w:val="0"/>
                <w:color w:val="auto"/>
              </w:rPr>
              <w:t>烟</w:t>
            </w:r>
            <w:r>
              <w:rPr>
                <w:rFonts w:hint="eastAsia" w:asciiTheme="minorEastAsia" w:hAnsiTheme="minorEastAsia" w:eastAsiaTheme="minorEastAsia" w:cstheme="minorEastAsia"/>
                <w:b w:val="0"/>
                <w:bCs w:val="0"/>
                <w:color w:val="auto"/>
                <w:lang w:eastAsia="zh-CN"/>
              </w:rPr>
              <w:t>（</w:t>
            </w:r>
            <w:r>
              <w:rPr>
                <w:rFonts w:hint="eastAsia" w:asciiTheme="minorEastAsia" w:hAnsiTheme="minorEastAsia" w:eastAsiaTheme="minorEastAsia" w:cstheme="minorEastAsia"/>
                <w:b w:val="0"/>
                <w:bCs w:val="0"/>
                <w:color w:val="auto"/>
                <w:lang w:val="en-US" w:eastAsia="zh-CN"/>
              </w:rPr>
              <w:t>气）</w:t>
            </w:r>
            <w:r>
              <w:rPr>
                <w:rFonts w:hint="eastAsia" w:asciiTheme="minorEastAsia" w:hAnsiTheme="minorEastAsia" w:eastAsiaTheme="minorEastAsia" w:cstheme="minorEastAsia"/>
                <w:b w:val="0"/>
                <w:bCs w:val="0"/>
                <w:color w:val="auto"/>
              </w:rPr>
              <w:t>道</w:t>
            </w:r>
          </w:p>
        </w:tc>
        <w:tc>
          <w:tcPr>
            <w:tcW w:w="26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p>
        </w:tc>
        <w:tc>
          <w:tcPr>
            <w:tcW w:w="10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t>1</w:t>
            </w:r>
          </w:p>
        </w:tc>
        <w:tc>
          <w:tcPr>
            <w:tcW w:w="9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auto"/>
              <w:jc w:val="center"/>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1</w:t>
            </w:r>
          </w:p>
        </w:tc>
      </w:tr>
    </w:tbl>
    <w:p>
      <w:pPr>
        <w:jc w:val="left"/>
        <w:rPr>
          <w:rFonts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 xml:space="preserve"> 注： 绿色建筑应符合《</w:t>
      </w:r>
      <w:r>
        <w:rPr>
          <w:rFonts w:hint="eastAsia" w:asciiTheme="minorEastAsia" w:hAnsiTheme="minorEastAsia" w:eastAsiaTheme="minorEastAsia" w:cstheme="minorEastAsia"/>
          <w:b w:val="0"/>
          <w:bCs w:val="0"/>
          <w:color w:val="auto"/>
          <w:sz w:val="21"/>
          <w:szCs w:val="21"/>
        </w:rPr>
        <w:t>绿色建筑评价标准》GB/T50378要求</w:t>
      </w:r>
      <w:r>
        <w:rPr>
          <w:rFonts w:hint="eastAsia" w:asciiTheme="minorEastAsia" w:hAnsiTheme="minorEastAsia" w:eastAsiaTheme="minorEastAsia" w:cstheme="minorEastAsia"/>
          <w:b w:val="0"/>
          <w:bCs w:val="0"/>
          <w:color w:val="auto"/>
          <w:sz w:val="21"/>
          <w:szCs w:val="21"/>
        </w:rPr>
        <w:t xml:space="preserve">。 </w:t>
      </w:r>
    </w:p>
    <w:p>
      <w:pPr>
        <w:rPr>
          <w:rFonts w:hint="eastAsia"/>
          <w:b w:val="0"/>
          <w:bCs w:val="0"/>
          <w:color w:val="auto"/>
          <w:sz w:val="28"/>
          <w:szCs w:val="28"/>
        </w:rPr>
      </w:pPr>
    </w:p>
    <w:p>
      <w:pPr>
        <w:adjustRightInd w:val="0"/>
        <w:snapToGrid w:val="0"/>
        <w:ind w:firstLine="480" w:firstLineChars="200"/>
        <w:rPr>
          <w:rFonts w:ascii="宋体" w:hAnsi="宋体"/>
          <w:b w:val="0"/>
          <w:bCs w:val="0"/>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jc w:val="center"/>
    </w:pPr>
    <w:r>
      <w:fldChar w:fldCharType="begin"/>
    </w:r>
    <w:r>
      <w:instrText xml:space="preserve"> PAGE   \* MERGEFORMAT </w:instrText>
    </w:r>
    <w:r>
      <w:fldChar w:fldCharType="separate"/>
    </w:r>
    <w:r>
      <w:rPr>
        <w:lang w:val="zh-CN"/>
      </w:rPr>
      <w:t>9</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jc w:val="center"/>
    </w:pPr>
    <w:r>
      <w:fldChar w:fldCharType="begin"/>
    </w:r>
    <w:r>
      <w:instrText xml:space="preserve"> PAGE   \* MERGEFORMAT </w:instrText>
    </w:r>
    <w:r>
      <w:fldChar w:fldCharType="separate"/>
    </w:r>
    <w:r>
      <w:rPr>
        <w:lang w:val="zh-CN"/>
      </w:rPr>
      <w:t>13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numPr>
        <w:ilvl w:val="0"/>
        <w:numId w:val="0"/>
      </w:numPr>
      <w:jc w:val="center"/>
    </w:pPr>
    <w:r>
      <w:fldChar w:fldCharType="begin"/>
    </w:r>
    <w:r>
      <w:instrText xml:space="preserve"> PAGE   \* MERGEFORMAT </w:instrText>
    </w:r>
    <w:r>
      <w:fldChar w:fldCharType="separate"/>
    </w:r>
    <w:r>
      <w:rPr>
        <w:lang w:val="zh-CN"/>
      </w:rPr>
      <w:t>19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9529A"/>
    <w:multiLevelType w:val="multilevel"/>
    <w:tmpl w:val="47B9529A"/>
    <w:lvl w:ilvl="0" w:tentative="0">
      <w:start w:val="1"/>
      <w:numFmt w:val="decimal"/>
      <w:suff w:val="nothing"/>
      <w:lvlText w:val="%1　"/>
      <w:lvlJc w:val="left"/>
      <w:pPr>
        <w:ind w:left="3780" w:firstLine="0"/>
      </w:pPr>
      <w:rPr>
        <w:rFonts w:hint="eastAsia" w:ascii="黑体" w:hAnsi="Times New Roman" w:eastAsia="黑体"/>
        <w:b/>
        <w:i w:val="0"/>
        <w:sz w:val="21"/>
        <w:szCs w:val="21"/>
      </w:rPr>
    </w:lvl>
    <w:lvl w:ilvl="1" w:tentative="0">
      <w:start w:val="1"/>
      <w:numFmt w:val="decimal"/>
      <w:suff w:val="nothing"/>
      <w:lvlText w:val="%1.%2　"/>
      <w:lvlJc w:val="left"/>
      <w:pPr>
        <w:ind w:left="3255" w:firstLine="0"/>
      </w:pPr>
      <w:rPr>
        <w:rFonts w:hint="eastAsia" w:ascii="黑体" w:hAnsi="Times New Roman" w:eastAsia="黑体" w:cs="Times New Roman"/>
        <w:b/>
        <w:bCs w:val="0"/>
        <w:i w:val="0"/>
        <w:iCs w:val="0"/>
        <w:caps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4"/>
      <w:suff w:val="nothing"/>
      <w:lvlText w:val="%1.%2.%3　"/>
      <w:lvlJc w:val="left"/>
      <w:pPr>
        <w:ind w:left="630" w:firstLine="0"/>
      </w:pPr>
      <w:rPr>
        <w:rFonts w:hint="eastAsia" w:ascii="黑体" w:hAnsi="Times New Roman" w:eastAsia="黑体"/>
        <w:b/>
        <w:i w:val="0"/>
        <w:sz w:val="21"/>
      </w:rPr>
    </w:lvl>
    <w:lvl w:ilvl="3" w:tentative="0">
      <w:start w:val="1"/>
      <w:numFmt w:val="decimal"/>
      <w:suff w:val="nothing"/>
      <w:lvlText w:val="%1.%2.%3.%4　"/>
      <w:lvlJc w:val="left"/>
      <w:pPr>
        <w:ind w:left="-735" w:firstLine="0"/>
      </w:pPr>
      <w:rPr>
        <w:rFonts w:hint="eastAsia" w:ascii="黑体" w:hAnsi="Times New Roman" w:eastAsia="黑体"/>
        <w:b/>
        <w:i w:val="0"/>
        <w:sz w:val="21"/>
      </w:rPr>
    </w:lvl>
    <w:lvl w:ilvl="4" w:tentative="0">
      <w:start w:val="1"/>
      <w:numFmt w:val="decimal"/>
      <w:suff w:val="nothing"/>
      <w:lvlText w:val="%5）"/>
      <w:lvlJc w:val="left"/>
      <w:pPr>
        <w:ind w:left="-735" w:firstLine="0"/>
      </w:pPr>
      <w:rPr>
        <w:rFonts w:ascii="Times New Roman" w:hAnsi="Times New Roman" w:eastAsia="Times New Roman" w:cs="Times New Roman"/>
        <w:b/>
        <w:i w:val="0"/>
        <w:sz w:val="21"/>
      </w:rPr>
    </w:lvl>
    <w:lvl w:ilvl="5" w:tentative="0">
      <w:start w:val="1"/>
      <w:numFmt w:val="decimal"/>
      <w:suff w:val="nothing"/>
      <w:lvlText w:val="%1.%2.%3.%4.%5.%6　"/>
      <w:lvlJc w:val="left"/>
      <w:pPr>
        <w:ind w:left="-735" w:firstLine="0"/>
      </w:pPr>
      <w:rPr>
        <w:rFonts w:hint="eastAsia" w:ascii="黑体" w:hAnsi="Times New Roman" w:eastAsia="黑体"/>
        <w:b w:val="0"/>
        <w:i w:val="0"/>
        <w:sz w:val="21"/>
      </w:rPr>
    </w:lvl>
    <w:lvl w:ilvl="6" w:tentative="0">
      <w:start w:val="1"/>
      <w:numFmt w:val="decimal"/>
      <w:suff w:val="nothing"/>
      <w:lvlText w:val="%1%2.%3.%4.%5.%6.%7　"/>
      <w:lvlJc w:val="left"/>
      <w:pPr>
        <w:ind w:left="-735" w:firstLine="0"/>
      </w:pPr>
      <w:rPr>
        <w:rFonts w:hint="eastAsia" w:ascii="黑体" w:hAnsi="Times New Roman" w:eastAsia="黑体"/>
        <w:b w:val="0"/>
        <w:i w:val="0"/>
        <w:sz w:val="21"/>
      </w:rPr>
    </w:lvl>
    <w:lvl w:ilvl="7" w:tentative="0">
      <w:start w:val="1"/>
      <w:numFmt w:val="decimal"/>
      <w:lvlText w:val="%1.%2.%3.%4.%5.%6.%7.%8"/>
      <w:lvlJc w:val="left"/>
      <w:pPr>
        <w:tabs>
          <w:tab w:val="left" w:pos="3616"/>
        </w:tabs>
        <w:ind w:left="3234" w:hanging="1418"/>
      </w:pPr>
      <w:rPr>
        <w:rFonts w:hint="eastAsia"/>
      </w:rPr>
    </w:lvl>
    <w:lvl w:ilvl="8" w:tentative="0">
      <w:start w:val="1"/>
      <w:numFmt w:val="decimal"/>
      <w:lvlText w:val="%1.%2.%3.%4.%5.%6.%7.%8.%9"/>
      <w:lvlJc w:val="left"/>
      <w:pPr>
        <w:tabs>
          <w:tab w:val="left" w:pos="4042"/>
        </w:tabs>
        <w:ind w:left="394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03"/>
    <w:rsid w:val="000122BE"/>
    <w:rsid w:val="0001482F"/>
    <w:rsid w:val="00017BDA"/>
    <w:rsid w:val="000228C4"/>
    <w:rsid w:val="0002339B"/>
    <w:rsid w:val="0003027C"/>
    <w:rsid w:val="00073931"/>
    <w:rsid w:val="00075FBE"/>
    <w:rsid w:val="0008022F"/>
    <w:rsid w:val="0008656F"/>
    <w:rsid w:val="000A4796"/>
    <w:rsid w:val="000B5B63"/>
    <w:rsid w:val="000D1AFE"/>
    <w:rsid w:val="000E131E"/>
    <w:rsid w:val="000E2E10"/>
    <w:rsid w:val="0013059A"/>
    <w:rsid w:val="0014216A"/>
    <w:rsid w:val="00155B35"/>
    <w:rsid w:val="00161571"/>
    <w:rsid w:val="00177A6B"/>
    <w:rsid w:val="001A55BA"/>
    <w:rsid w:val="001B2430"/>
    <w:rsid w:val="001B71F5"/>
    <w:rsid w:val="001D57C9"/>
    <w:rsid w:val="001E017C"/>
    <w:rsid w:val="001E0CC8"/>
    <w:rsid w:val="001E1D6F"/>
    <w:rsid w:val="001E3D12"/>
    <w:rsid w:val="001E592D"/>
    <w:rsid w:val="00216088"/>
    <w:rsid w:val="00225CA5"/>
    <w:rsid w:val="00242BC8"/>
    <w:rsid w:val="00251FF8"/>
    <w:rsid w:val="00253C76"/>
    <w:rsid w:val="00260202"/>
    <w:rsid w:val="00261C23"/>
    <w:rsid w:val="0026653E"/>
    <w:rsid w:val="00281956"/>
    <w:rsid w:val="002944E8"/>
    <w:rsid w:val="002A33AC"/>
    <w:rsid w:val="002B4BBE"/>
    <w:rsid w:val="002E0011"/>
    <w:rsid w:val="002E5EA9"/>
    <w:rsid w:val="002F59DC"/>
    <w:rsid w:val="003013AF"/>
    <w:rsid w:val="00317BEF"/>
    <w:rsid w:val="0032786E"/>
    <w:rsid w:val="00332EBF"/>
    <w:rsid w:val="003374B9"/>
    <w:rsid w:val="00350D26"/>
    <w:rsid w:val="00383F73"/>
    <w:rsid w:val="00392659"/>
    <w:rsid w:val="003B0988"/>
    <w:rsid w:val="003B3ACF"/>
    <w:rsid w:val="003C2794"/>
    <w:rsid w:val="003D2C69"/>
    <w:rsid w:val="003D5293"/>
    <w:rsid w:val="003F6248"/>
    <w:rsid w:val="00400917"/>
    <w:rsid w:val="00401B1D"/>
    <w:rsid w:val="004026CD"/>
    <w:rsid w:val="004070B6"/>
    <w:rsid w:val="00414EF4"/>
    <w:rsid w:val="00434041"/>
    <w:rsid w:val="00443146"/>
    <w:rsid w:val="00452C9B"/>
    <w:rsid w:val="004612E6"/>
    <w:rsid w:val="00462EFC"/>
    <w:rsid w:val="004B23F8"/>
    <w:rsid w:val="004C1018"/>
    <w:rsid w:val="004C50D0"/>
    <w:rsid w:val="004F0CB0"/>
    <w:rsid w:val="004F2051"/>
    <w:rsid w:val="005128B1"/>
    <w:rsid w:val="0052104A"/>
    <w:rsid w:val="00530FED"/>
    <w:rsid w:val="00540101"/>
    <w:rsid w:val="0054191C"/>
    <w:rsid w:val="00563BC0"/>
    <w:rsid w:val="00567FBA"/>
    <w:rsid w:val="00575055"/>
    <w:rsid w:val="00580346"/>
    <w:rsid w:val="005977FA"/>
    <w:rsid w:val="005A10B6"/>
    <w:rsid w:val="005B1013"/>
    <w:rsid w:val="005C2EDD"/>
    <w:rsid w:val="005D5FED"/>
    <w:rsid w:val="005E539B"/>
    <w:rsid w:val="005E7BA8"/>
    <w:rsid w:val="005F299C"/>
    <w:rsid w:val="005F312A"/>
    <w:rsid w:val="005F75DE"/>
    <w:rsid w:val="006155C4"/>
    <w:rsid w:val="00616567"/>
    <w:rsid w:val="006575C8"/>
    <w:rsid w:val="0066452B"/>
    <w:rsid w:val="006859F8"/>
    <w:rsid w:val="006906AA"/>
    <w:rsid w:val="0069559A"/>
    <w:rsid w:val="00695751"/>
    <w:rsid w:val="006A1509"/>
    <w:rsid w:val="006B197A"/>
    <w:rsid w:val="006B27CD"/>
    <w:rsid w:val="006C7289"/>
    <w:rsid w:val="006D07DC"/>
    <w:rsid w:val="006F2DF9"/>
    <w:rsid w:val="00702257"/>
    <w:rsid w:val="00704D5F"/>
    <w:rsid w:val="00717D75"/>
    <w:rsid w:val="0072191E"/>
    <w:rsid w:val="007261C9"/>
    <w:rsid w:val="00746D3F"/>
    <w:rsid w:val="007513B2"/>
    <w:rsid w:val="0076368D"/>
    <w:rsid w:val="00786551"/>
    <w:rsid w:val="007A3D2E"/>
    <w:rsid w:val="007D4907"/>
    <w:rsid w:val="007E093B"/>
    <w:rsid w:val="007E775B"/>
    <w:rsid w:val="007F4D91"/>
    <w:rsid w:val="0081105A"/>
    <w:rsid w:val="00822864"/>
    <w:rsid w:val="008348CF"/>
    <w:rsid w:val="00845414"/>
    <w:rsid w:val="008574D5"/>
    <w:rsid w:val="00864FA9"/>
    <w:rsid w:val="00884769"/>
    <w:rsid w:val="008B16DF"/>
    <w:rsid w:val="008C26FC"/>
    <w:rsid w:val="008C5AF3"/>
    <w:rsid w:val="008F285C"/>
    <w:rsid w:val="008F476D"/>
    <w:rsid w:val="009353A6"/>
    <w:rsid w:val="00954244"/>
    <w:rsid w:val="00960756"/>
    <w:rsid w:val="0097612E"/>
    <w:rsid w:val="00985CB7"/>
    <w:rsid w:val="00993D5A"/>
    <w:rsid w:val="009960A0"/>
    <w:rsid w:val="009A7762"/>
    <w:rsid w:val="009C5AC3"/>
    <w:rsid w:val="009C6CFF"/>
    <w:rsid w:val="009D3757"/>
    <w:rsid w:val="009E1141"/>
    <w:rsid w:val="009E3025"/>
    <w:rsid w:val="00A25245"/>
    <w:rsid w:val="00A55FFA"/>
    <w:rsid w:val="00AB1ED8"/>
    <w:rsid w:val="00AC0528"/>
    <w:rsid w:val="00AC27C5"/>
    <w:rsid w:val="00AD0648"/>
    <w:rsid w:val="00AD2494"/>
    <w:rsid w:val="00AD6D48"/>
    <w:rsid w:val="00AD754E"/>
    <w:rsid w:val="00AE2355"/>
    <w:rsid w:val="00AF4203"/>
    <w:rsid w:val="00B066BE"/>
    <w:rsid w:val="00B17BD6"/>
    <w:rsid w:val="00B4162D"/>
    <w:rsid w:val="00B6249D"/>
    <w:rsid w:val="00B62B68"/>
    <w:rsid w:val="00B66419"/>
    <w:rsid w:val="00B66A4C"/>
    <w:rsid w:val="00B71794"/>
    <w:rsid w:val="00B85DC8"/>
    <w:rsid w:val="00B90E4F"/>
    <w:rsid w:val="00B95041"/>
    <w:rsid w:val="00BC3882"/>
    <w:rsid w:val="00BC6154"/>
    <w:rsid w:val="00BE4458"/>
    <w:rsid w:val="00BE4984"/>
    <w:rsid w:val="00BE7413"/>
    <w:rsid w:val="00C00FE6"/>
    <w:rsid w:val="00C10E83"/>
    <w:rsid w:val="00C54FC9"/>
    <w:rsid w:val="00C64C0A"/>
    <w:rsid w:val="00C75C52"/>
    <w:rsid w:val="00C956F1"/>
    <w:rsid w:val="00CB62C9"/>
    <w:rsid w:val="00CB73F1"/>
    <w:rsid w:val="00CD2113"/>
    <w:rsid w:val="00CD2C27"/>
    <w:rsid w:val="00CD48D5"/>
    <w:rsid w:val="00CE61D4"/>
    <w:rsid w:val="00CF0A3D"/>
    <w:rsid w:val="00D013E5"/>
    <w:rsid w:val="00D222F5"/>
    <w:rsid w:val="00D35CEC"/>
    <w:rsid w:val="00D53E5B"/>
    <w:rsid w:val="00D71ABD"/>
    <w:rsid w:val="00D73CEF"/>
    <w:rsid w:val="00DA209F"/>
    <w:rsid w:val="00DD3CE0"/>
    <w:rsid w:val="00DE0EE7"/>
    <w:rsid w:val="00DE3763"/>
    <w:rsid w:val="00E03C69"/>
    <w:rsid w:val="00E13199"/>
    <w:rsid w:val="00E23568"/>
    <w:rsid w:val="00E3068A"/>
    <w:rsid w:val="00E555B1"/>
    <w:rsid w:val="00E573D0"/>
    <w:rsid w:val="00E63A7F"/>
    <w:rsid w:val="00E85C47"/>
    <w:rsid w:val="00EA0F08"/>
    <w:rsid w:val="00EA7519"/>
    <w:rsid w:val="00EC54F9"/>
    <w:rsid w:val="00ED5E85"/>
    <w:rsid w:val="00ED7E27"/>
    <w:rsid w:val="00EE53AF"/>
    <w:rsid w:val="00EF376D"/>
    <w:rsid w:val="00F03C50"/>
    <w:rsid w:val="00F14988"/>
    <w:rsid w:val="00F15C2D"/>
    <w:rsid w:val="00F467C7"/>
    <w:rsid w:val="00F529E6"/>
    <w:rsid w:val="00F540D4"/>
    <w:rsid w:val="00F57500"/>
    <w:rsid w:val="00F61C14"/>
    <w:rsid w:val="00F6235E"/>
    <w:rsid w:val="00F6514D"/>
    <w:rsid w:val="00F7624F"/>
    <w:rsid w:val="00F77F77"/>
    <w:rsid w:val="00F805A5"/>
    <w:rsid w:val="00F92CF3"/>
    <w:rsid w:val="00F978E6"/>
    <w:rsid w:val="00FA1DA7"/>
    <w:rsid w:val="00FB6EE1"/>
    <w:rsid w:val="00FD6ED1"/>
    <w:rsid w:val="00FE6C33"/>
    <w:rsid w:val="00FF73CD"/>
    <w:rsid w:val="022B7D67"/>
    <w:rsid w:val="06C970CC"/>
    <w:rsid w:val="08DE0992"/>
    <w:rsid w:val="0C5228BD"/>
    <w:rsid w:val="0D687A67"/>
    <w:rsid w:val="0D6D6C2E"/>
    <w:rsid w:val="10A936D7"/>
    <w:rsid w:val="17014648"/>
    <w:rsid w:val="17D55D86"/>
    <w:rsid w:val="19164283"/>
    <w:rsid w:val="195C6615"/>
    <w:rsid w:val="1B2E7BF3"/>
    <w:rsid w:val="1B497C87"/>
    <w:rsid w:val="1C016C81"/>
    <w:rsid w:val="1E42631C"/>
    <w:rsid w:val="22385103"/>
    <w:rsid w:val="22617404"/>
    <w:rsid w:val="292317F1"/>
    <w:rsid w:val="2B1D378A"/>
    <w:rsid w:val="30B66710"/>
    <w:rsid w:val="31803035"/>
    <w:rsid w:val="325D36AA"/>
    <w:rsid w:val="3AAE3A07"/>
    <w:rsid w:val="3C6F04F6"/>
    <w:rsid w:val="43016236"/>
    <w:rsid w:val="4DB526F3"/>
    <w:rsid w:val="4E1523C9"/>
    <w:rsid w:val="4EF3390F"/>
    <w:rsid w:val="516F7B95"/>
    <w:rsid w:val="524361A7"/>
    <w:rsid w:val="52E0248C"/>
    <w:rsid w:val="55CA4D44"/>
    <w:rsid w:val="567B7E58"/>
    <w:rsid w:val="59F10C83"/>
    <w:rsid w:val="5D0B4A73"/>
    <w:rsid w:val="5ED74EE2"/>
    <w:rsid w:val="61625169"/>
    <w:rsid w:val="6236191A"/>
    <w:rsid w:val="65D9744E"/>
    <w:rsid w:val="670D5A28"/>
    <w:rsid w:val="6CE32D7B"/>
    <w:rsid w:val="70B80F84"/>
    <w:rsid w:val="727A3FC9"/>
    <w:rsid w:val="728F5E36"/>
    <w:rsid w:val="732D695D"/>
    <w:rsid w:val="77370238"/>
    <w:rsid w:val="77E862B9"/>
    <w:rsid w:val="785B1EB5"/>
    <w:rsid w:val="79A07E5F"/>
    <w:rsid w:val="7A766982"/>
    <w:rsid w:val="7AA74BF1"/>
    <w:rsid w:val="7E90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9"/>
    <w:qFormat/>
    <w:uiPriority w:val="0"/>
    <w:pPr>
      <w:keepNext/>
      <w:keepLines/>
      <w:spacing w:beforeLines="100" w:afterLines="100" w:line="400" w:lineRule="exact"/>
      <w:jc w:val="center"/>
      <w:outlineLvl w:val="0"/>
    </w:pPr>
    <w:rPr>
      <w:rFonts w:eastAsia="黑体"/>
      <w:bCs/>
      <w:kern w:val="44"/>
      <w:sz w:val="28"/>
      <w:szCs w:val="44"/>
    </w:rPr>
  </w:style>
  <w:style w:type="paragraph" w:styleId="3">
    <w:name w:val="heading 2"/>
    <w:basedOn w:val="1"/>
    <w:next w:val="1"/>
    <w:link w:val="30"/>
    <w:qFormat/>
    <w:uiPriority w:val="0"/>
    <w:pPr>
      <w:keepNext/>
      <w:keepLines/>
      <w:spacing w:beforeLines="50" w:afterLines="50" w:line="400" w:lineRule="exact"/>
      <w:jc w:val="center"/>
      <w:outlineLvl w:val="1"/>
    </w:pPr>
    <w:rPr>
      <w:rFonts w:ascii="宋体" w:hAnsi="Cambria"/>
      <w:b/>
      <w:bCs/>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1"/>
    <w:next w:val="1"/>
    <w:link w:val="32"/>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rPr>
      <w:rFonts w:ascii="Cambria" w:hAnsi="Cambria" w:eastAsia="黑体"/>
      <w:sz w:val="20"/>
      <w:szCs w:val="20"/>
    </w:rPr>
  </w:style>
  <w:style w:type="paragraph" w:styleId="7">
    <w:name w:val="Document Map"/>
    <w:basedOn w:val="1"/>
    <w:link w:val="45"/>
    <w:qFormat/>
    <w:uiPriority w:val="0"/>
    <w:rPr>
      <w:rFonts w:ascii="宋体"/>
      <w:sz w:val="18"/>
      <w:szCs w:val="18"/>
    </w:rPr>
  </w:style>
  <w:style w:type="paragraph" w:styleId="8">
    <w:name w:val="annotation text"/>
    <w:basedOn w:val="1"/>
    <w:link w:val="43"/>
    <w:qFormat/>
    <w:uiPriority w:val="0"/>
    <w:pPr>
      <w:jc w:val="left"/>
    </w:pPr>
  </w:style>
  <w:style w:type="paragraph" w:styleId="9">
    <w:name w:val="Body Text"/>
    <w:basedOn w:val="1"/>
    <w:link w:val="73"/>
    <w:qFormat/>
    <w:uiPriority w:val="1"/>
    <w:pPr>
      <w:autoSpaceDE w:val="0"/>
      <w:autoSpaceDN w:val="0"/>
      <w:adjustRightInd w:val="0"/>
      <w:jc w:val="left"/>
    </w:pPr>
    <w:rPr>
      <w:rFonts w:ascii="宋体" w:cs="宋体"/>
      <w:kern w:val="0"/>
      <w:sz w:val="32"/>
      <w:szCs w:val="32"/>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Date"/>
    <w:basedOn w:val="1"/>
    <w:next w:val="1"/>
    <w:qFormat/>
    <w:uiPriority w:val="0"/>
    <w:pPr>
      <w:ind w:left="100"/>
    </w:pPr>
    <w:rPr>
      <w:sz w:val="28"/>
      <w:szCs w:val="20"/>
    </w:rPr>
  </w:style>
  <w:style w:type="paragraph" w:styleId="13">
    <w:name w:val="Balloon Text"/>
    <w:basedOn w:val="1"/>
    <w:qFormat/>
    <w:uiPriority w:val="0"/>
    <w:rPr>
      <w:sz w:val="18"/>
      <w:szCs w:val="18"/>
    </w:rPr>
  </w:style>
  <w:style w:type="paragraph" w:styleId="14">
    <w:name w:val="footer"/>
    <w:basedOn w:val="1"/>
    <w:link w:val="71"/>
    <w:qFormat/>
    <w:uiPriority w:val="99"/>
    <w:pPr>
      <w:numPr>
        <w:ilvl w:val="2"/>
        <w:numId w:val="1"/>
      </w:numPr>
      <w:tabs>
        <w:tab w:val="center" w:pos="4153"/>
        <w:tab w:val="right" w:pos="8306"/>
      </w:tabs>
      <w:snapToGrid w:val="0"/>
      <w:ind w:left="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jc w:val="left"/>
    </w:pPr>
    <w:rPr>
      <w:rFonts w:eastAsiaTheme="majorEastAsia"/>
      <w:bCs/>
      <w:caps/>
      <w:szCs w:val="20"/>
    </w:rPr>
  </w:style>
  <w:style w:type="paragraph" w:styleId="17">
    <w:name w:val="toc 4"/>
    <w:basedOn w:val="1"/>
    <w:next w:val="1"/>
    <w:qFormat/>
    <w:uiPriority w:val="0"/>
    <w:pPr>
      <w:ind w:left="1260" w:leftChars="600"/>
    </w:pPr>
  </w:style>
  <w:style w:type="paragraph" w:styleId="18">
    <w:name w:val="toc 2"/>
    <w:basedOn w:val="1"/>
    <w:next w:val="1"/>
    <w:qFormat/>
    <w:uiPriority w:val="39"/>
    <w:pPr>
      <w:spacing w:line="240" w:lineRule="auto"/>
    </w:pPr>
  </w:style>
  <w:style w:type="paragraph" w:styleId="19">
    <w:name w:val="annotation subject"/>
    <w:basedOn w:val="8"/>
    <w:next w:val="8"/>
    <w:link w:val="44"/>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0"/>
    <w:rPr>
      <w:i/>
      <w:iCs/>
    </w:rPr>
  </w:style>
  <w:style w:type="character" w:styleId="27">
    <w:name w:val="Hyperlink"/>
    <w:qFormat/>
    <w:uiPriority w:val="99"/>
    <w:rPr>
      <w:color w:val="0000FF"/>
      <w:u w:val="single"/>
    </w:rPr>
  </w:style>
  <w:style w:type="character" w:styleId="28">
    <w:name w:val="annotation reference"/>
    <w:basedOn w:val="22"/>
    <w:qFormat/>
    <w:uiPriority w:val="0"/>
    <w:rPr>
      <w:sz w:val="21"/>
      <w:szCs w:val="21"/>
    </w:rPr>
  </w:style>
  <w:style w:type="character" w:customStyle="1" w:styleId="29">
    <w:name w:val="标题 1 Char"/>
    <w:link w:val="2"/>
    <w:qFormat/>
    <w:uiPriority w:val="0"/>
    <w:rPr>
      <w:rFonts w:eastAsia="黑体"/>
      <w:bCs/>
      <w:kern w:val="44"/>
      <w:sz w:val="28"/>
      <w:szCs w:val="44"/>
    </w:rPr>
  </w:style>
  <w:style w:type="character" w:customStyle="1" w:styleId="30">
    <w:name w:val="标题 2 Char"/>
    <w:link w:val="3"/>
    <w:qFormat/>
    <w:uiPriority w:val="0"/>
    <w:rPr>
      <w:rFonts w:ascii="宋体" w:hAnsi="Cambria"/>
      <w:b/>
      <w:bCs/>
      <w:kern w:val="2"/>
      <w:sz w:val="24"/>
      <w:szCs w:val="32"/>
    </w:rPr>
  </w:style>
  <w:style w:type="character" w:customStyle="1" w:styleId="31">
    <w:name w:val="标题 3 Char"/>
    <w:link w:val="4"/>
    <w:qFormat/>
    <w:uiPriority w:val="0"/>
    <w:rPr>
      <w:rFonts w:eastAsia="宋体"/>
      <w:b/>
      <w:bCs/>
      <w:kern w:val="2"/>
      <w:sz w:val="32"/>
      <w:szCs w:val="32"/>
      <w:lang w:val="en-US" w:eastAsia="zh-CN" w:bidi="ar-SA"/>
    </w:rPr>
  </w:style>
  <w:style w:type="character" w:customStyle="1" w:styleId="32">
    <w:name w:val="标题 4 Char"/>
    <w:link w:val="5"/>
    <w:qFormat/>
    <w:uiPriority w:val="0"/>
    <w:rPr>
      <w:rFonts w:ascii="Cambria" w:hAnsi="Cambria" w:eastAsia="宋体"/>
      <w:b/>
      <w:bCs/>
      <w:kern w:val="2"/>
      <w:sz w:val="28"/>
      <w:szCs w:val="28"/>
      <w:lang w:val="en-US" w:eastAsia="zh-CN" w:bidi="ar-SA"/>
    </w:rPr>
  </w:style>
  <w:style w:type="paragraph" w:customStyle="1" w:styleId="33">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34">
    <w:name w:val="列出段落1"/>
    <w:basedOn w:val="1"/>
    <w:qFormat/>
    <w:uiPriority w:val="0"/>
    <w:pPr>
      <w:ind w:firstLine="420" w:firstLineChars="200"/>
    </w:pPr>
    <w:rPr>
      <w:rFonts w:ascii="Calibri" w:hAnsi="Calibri"/>
      <w:szCs w:val="22"/>
    </w:rPr>
  </w:style>
  <w:style w:type="paragraph" w:customStyle="1" w:styleId="35">
    <w:name w:val="Char"/>
    <w:basedOn w:val="1"/>
    <w:qFormat/>
    <w:uiPriority w:val="0"/>
    <w:pPr>
      <w:widowControl/>
      <w:spacing w:after="160" w:line="240" w:lineRule="exact"/>
      <w:jc w:val="left"/>
    </w:pPr>
  </w:style>
  <w:style w:type="character" w:customStyle="1" w:styleId="36">
    <w:name w:val="样式3 Char"/>
    <w:qFormat/>
    <w:uiPriority w:val="0"/>
    <w:rPr>
      <w:rFonts w:eastAsia="黑体"/>
      <w:b/>
      <w:spacing w:val="20"/>
      <w:kern w:val="2"/>
      <w:sz w:val="21"/>
      <w:lang w:val="en-US" w:eastAsia="zh-CN" w:bidi="ar-SA"/>
    </w:rPr>
  </w:style>
  <w:style w:type="paragraph" w:customStyle="1" w:styleId="3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8">
    <w:name w:val="标题1"/>
    <w:basedOn w:val="1"/>
    <w:qFormat/>
    <w:uiPriority w:val="0"/>
    <w:pPr>
      <w:jc w:val="center"/>
    </w:pPr>
    <w:rPr>
      <w:rFonts w:ascii="黑体" w:hAnsi="宋体" w:eastAsia="黑体"/>
    </w:rPr>
  </w:style>
  <w:style w:type="paragraph" w:customStyle="1" w:styleId="39">
    <w:name w:val="二级无"/>
    <w:basedOn w:val="40"/>
    <w:qFormat/>
    <w:uiPriority w:val="0"/>
    <w:pPr>
      <w:ind w:left="630"/>
    </w:pPr>
    <w:rPr>
      <w:rFonts w:ascii="宋体" w:eastAsia="宋体"/>
    </w:rPr>
  </w:style>
  <w:style w:type="paragraph" w:customStyle="1" w:styleId="40">
    <w:name w:val="二级条标题"/>
    <w:basedOn w:val="41"/>
    <w:next w:val="37"/>
    <w:qFormat/>
    <w:uiPriority w:val="0"/>
    <w:pPr>
      <w:ind w:left="735"/>
      <w:outlineLvl w:val="3"/>
    </w:pPr>
  </w:style>
  <w:style w:type="paragraph" w:customStyle="1" w:styleId="41">
    <w:name w:val="一级条标题"/>
    <w:next w:val="37"/>
    <w:qFormat/>
    <w:uiPriority w:val="0"/>
    <w:pPr>
      <w:spacing w:beforeLines="50" w:afterLines="50"/>
      <w:ind w:left="4935"/>
      <w:outlineLvl w:val="2"/>
    </w:pPr>
    <w:rPr>
      <w:rFonts w:ascii="黑体" w:hAnsi="Times New Roman" w:eastAsia="黑体" w:cs="Times New Roman"/>
      <w:sz w:val="21"/>
      <w:szCs w:val="21"/>
      <w:lang w:val="en-US" w:eastAsia="zh-CN" w:bidi="ar-SA"/>
    </w:rPr>
  </w:style>
  <w:style w:type="paragraph" w:customStyle="1" w:styleId="42">
    <w:name w:val="标题2"/>
    <w:basedOn w:val="1"/>
    <w:qFormat/>
    <w:uiPriority w:val="0"/>
    <w:pPr>
      <w:jc w:val="center"/>
    </w:pPr>
    <w:rPr>
      <w:rFonts w:ascii="黑体" w:hAnsi="宋体" w:eastAsia="黑体"/>
      <w:b/>
    </w:rPr>
  </w:style>
  <w:style w:type="character" w:customStyle="1" w:styleId="43">
    <w:name w:val="批注文字 Char"/>
    <w:link w:val="8"/>
    <w:qFormat/>
    <w:uiPriority w:val="0"/>
    <w:rPr>
      <w:rFonts w:eastAsia="宋体"/>
      <w:kern w:val="2"/>
      <w:sz w:val="21"/>
      <w:szCs w:val="24"/>
      <w:lang w:val="en-US" w:eastAsia="zh-CN" w:bidi="ar-SA"/>
    </w:rPr>
  </w:style>
  <w:style w:type="character" w:customStyle="1" w:styleId="44">
    <w:name w:val="批注主题 Char"/>
    <w:basedOn w:val="43"/>
    <w:link w:val="19"/>
    <w:qFormat/>
    <w:uiPriority w:val="0"/>
    <w:rPr>
      <w:rFonts w:eastAsia="宋体"/>
      <w:b/>
      <w:bCs/>
      <w:kern w:val="2"/>
      <w:sz w:val="21"/>
      <w:szCs w:val="24"/>
      <w:lang w:val="en-US" w:eastAsia="zh-CN" w:bidi="ar-SA"/>
    </w:rPr>
  </w:style>
  <w:style w:type="character" w:customStyle="1" w:styleId="45">
    <w:name w:val="文档结构图 Char"/>
    <w:link w:val="7"/>
    <w:qFormat/>
    <w:uiPriority w:val="0"/>
    <w:rPr>
      <w:rFonts w:ascii="宋体" w:eastAsia="宋体"/>
      <w:kern w:val="2"/>
      <w:sz w:val="18"/>
      <w:szCs w:val="18"/>
      <w:lang w:val="en-US" w:eastAsia="zh-CN" w:bidi="ar-SA"/>
    </w:rPr>
  </w:style>
  <w:style w:type="paragraph" w:customStyle="1" w:styleId="46">
    <w:name w:val="条文标题1"/>
    <w:basedOn w:val="2"/>
    <w:link w:val="47"/>
    <w:qFormat/>
    <w:uiPriority w:val="0"/>
    <w:pPr>
      <w:spacing w:before="100" w:after="100"/>
    </w:pPr>
    <w:rPr>
      <w:szCs w:val="30"/>
    </w:rPr>
  </w:style>
  <w:style w:type="character" w:customStyle="1" w:styleId="47">
    <w:name w:val="条文标题1 Char"/>
    <w:link w:val="46"/>
    <w:qFormat/>
    <w:uiPriority w:val="0"/>
    <w:rPr>
      <w:rFonts w:eastAsia="黑体"/>
      <w:bCs/>
      <w:kern w:val="44"/>
      <w:sz w:val="28"/>
      <w:szCs w:val="30"/>
    </w:rPr>
  </w:style>
  <w:style w:type="paragraph" w:customStyle="1" w:styleId="48">
    <w:name w:val="条文标题2"/>
    <w:basedOn w:val="3"/>
    <w:link w:val="49"/>
    <w:qFormat/>
    <w:uiPriority w:val="0"/>
    <w:pPr>
      <w:spacing w:before="50" w:after="50"/>
    </w:pPr>
  </w:style>
  <w:style w:type="character" w:customStyle="1" w:styleId="49">
    <w:name w:val="条文标题2 Char"/>
    <w:link w:val="48"/>
    <w:qFormat/>
    <w:uiPriority w:val="0"/>
    <w:rPr>
      <w:rFonts w:ascii="宋体" w:hAnsi="Cambria"/>
      <w:b/>
      <w:bCs/>
      <w:kern w:val="2"/>
      <w:sz w:val="24"/>
      <w:szCs w:val="32"/>
    </w:rPr>
  </w:style>
  <w:style w:type="paragraph" w:customStyle="1" w:styleId="50">
    <w:name w:val="00 条文说明"/>
    <w:basedOn w:val="1"/>
    <w:qFormat/>
    <w:uiPriority w:val="0"/>
    <w:pPr>
      <w:ind w:firstLine="480" w:firstLineChars="200"/>
    </w:pPr>
    <w:rPr>
      <w:rFonts w:ascii="楷体_GB2312" w:hAnsi="楷体_GB2312" w:eastAsia="楷体_GB2312"/>
      <w:kern w:val="0"/>
    </w:rPr>
  </w:style>
  <w:style w:type="paragraph" w:customStyle="1" w:styleId="51">
    <w:name w:val="条文"/>
    <w:basedOn w:val="1"/>
    <w:link w:val="60"/>
    <w:qFormat/>
    <w:uiPriority w:val="0"/>
    <w:pPr>
      <w:adjustRightInd w:val="0"/>
      <w:spacing w:line="300" w:lineRule="auto"/>
      <w:ind w:firstLine="200" w:firstLineChars="200"/>
      <w:outlineLvl w:val="2"/>
    </w:pPr>
  </w:style>
  <w:style w:type="character" w:customStyle="1" w:styleId="52">
    <w:name w:val="Char Char7"/>
    <w:qFormat/>
    <w:uiPriority w:val="0"/>
    <w:rPr>
      <w:rFonts w:eastAsia="宋体"/>
      <w:b/>
      <w:bCs/>
      <w:kern w:val="44"/>
      <w:sz w:val="44"/>
      <w:szCs w:val="44"/>
      <w:lang w:val="en-US" w:eastAsia="zh-CN" w:bidi="ar-SA"/>
    </w:rPr>
  </w:style>
  <w:style w:type="character" w:customStyle="1" w:styleId="53">
    <w:name w:val="apple-converted-space"/>
    <w:basedOn w:val="22"/>
    <w:qFormat/>
    <w:uiPriority w:val="0"/>
  </w:style>
  <w:style w:type="paragraph" w:customStyle="1" w:styleId="54">
    <w:name w:val="第二类"/>
    <w:basedOn w:val="1"/>
    <w:link w:val="55"/>
    <w:qFormat/>
    <w:uiPriority w:val="0"/>
    <w:pPr>
      <w:spacing w:line="360" w:lineRule="exact"/>
      <w:jc w:val="center"/>
    </w:pPr>
    <w:rPr>
      <w:rFonts w:ascii="宋体" w:hAnsi="宋体"/>
      <w:b/>
      <w:szCs w:val="21"/>
    </w:rPr>
  </w:style>
  <w:style w:type="character" w:customStyle="1" w:styleId="55">
    <w:name w:val="第二类 Char"/>
    <w:basedOn w:val="22"/>
    <w:link w:val="54"/>
    <w:qFormat/>
    <w:uiPriority w:val="0"/>
    <w:rPr>
      <w:rFonts w:ascii="宋体" w:hAnsi="宋体" w:eastAsia="宋体"/>
      <w:b/>
      <w:kern w:val="2"/>
      <w:sz w:val="21"/>
      <w:szCs w:val="21"/>
      <w:lang w:val="en-US" w:eastAsia="zh-CN" w:bidi="ar-SA"/>
    </w:rPr>
  </w:style>
  <w:style w:type="paragraph" w:customStyle="1" w:styleId="56">
    <w:name w:val="新1"/>
    <w:basedOn w:val="1"/>
    <w:link w:val="58"/>
    <w:qFormat/>
    <w:uiPriority w:val="0"/>
    <w:pPr>
      <w:pageBreakBefore/>
      <w:spacing w:beforeLines="50"/>
      <w:jc w:val="center"/>
    </w:pPr>
    <w:rPr>
      <w:rFonts w:ascii="宋体" w:hAnsi="宋体"/>
      <w:b/>
      <w:sz w:val="28"/>
      <w:szCs w:val="28"/>
    </w:rPr>
  </w:style>
  <w:style w:type="paragraph" w:customStyle="1" w:styleId="57">
    <w:name w:val="新2"/>
    <w:basedOn w:val="1"/>
    <w:link w:val="59"/>
    <w:qFormat/>
    <w:uiPriority w:val="0"/>
    <w:pPr>
      <w:spacing w:line="360" w:lineRule="exact"/>
      <w:jc w:val="center"/>
    </w:pPr>
    <w:rPr>
      <w:rFonts w:ascii="宋体" w:hAnsi="宋体"/>
      <w:b/>
      <w:szCs w:val="21"/>
    </w:rPr>
  </w:style>
  <w:style w:type="character" w:customStyle="1" w:styleId="58">
    <w:name w:val="新1 Char"/>
    <w:basedOn w:val="22"/>
    <w:link w:val="56"/>
    <w:qFormat/>
    <w:uiPriority w:val="0"/>
    <w:rPr>
      <w:rFonts w:ascii="宋体" w:hAnsi="宋体"/>
      <w:b/>
      <w:kern w:val="2"/>
      <w:sz w:val="28"/>
      <w:szCs w:val="28"/>
    </w:rPr>
  </w:style>
  <w:style w:type="character" w:customStyle="1" w:styleId="59">
    <w:name w:val="新2 Char"/>
    <w:basedOn w:val="22"/>
    <w:link w:val="57"/>
    <w:qFormat/>
    <w:uiPriority w:val="0"/>
    <w:rPr>
      <w:rFonts w:ascii="宋体" w:hAnsi="宋体"/>
      <w:b/>
      <w:kern w:val="2"/>
      <w:sz w:val="21"/>
      <w:szCs w:val="21"/>
    </w:rPr>
  </w:style>
  <w:style w:type="character" w:customStyle="1" w:styleId="60">
    <w:name w:val="条文 Char"/>
    <w:link w:val="51"/>
    <w:qFormat/>
    <w:uiPriority w:val="0"/>
    <w:rPr>
      <w:rFonts w:eastAsia="宋体"/>
      <w:kern w:val="2"/>
      <w:sz w:val="24"/>
      <w:szCs w:val="24"/>
      <w:lang w:val="en-US" w:eastAsia="zh-CN" w:bidi="ar-SA"/>
    </w:rPr>
  </w:style>
  <w:style w:type="paragraph" w:customStyle="1" w:styleId="6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英文1"/>
    <w:basedOn w:val="1"/>
    <w:link w:val="65"/>
    <w:qFormat/>
    <w:uiPriority w:val="0"/>
    <w:pPr>
      <w:spacing w:beforeLines="50" w:afterLines="50"/>
      <w:jc w:val="left"/>
    </w:pPr>
    <w:rPr>
      <w:b/>
    </w:rPr>
  </w:style>
  <w:style w:type="paragraph" w:customStyle="1" w:styleId="64">
    <w:name w:val="英文2"/>
    <w:basedOn w:val="1"/>
    <w:link w:val="66"/>
    <w:qFormat/>
    <w:uiPriority w:val="0"/>
    <w:pPr>
      <w:ind w:firstLine="200" w:firstLineChars="200"/>
    </w:pPr>
  </w:style>
  <w:style w:type="character" w:customStyle="1" w:styleId="65">
    <w:name w:val="英文1 Char"/>
    <w:basedOn w:val="22"/>
    <w:link w:val="63"/>
    <w:qFormat/>
    <w:uiPriority w:val="0"/>
    <w:rPr>
      <w:b/>
      <w:kern w:val="2"/>
      <w:sz w:val="24"/>
      <w:szCs w:val="24"/>
    </w:rPr>
  </w:style>
  <w:style w:type="character" w:customStyle="1" w:styleId="66">
    <w:name w:val="英文2 Char"/>
    <w:basedOn w:val="22"/>
    <w:link w:val="64"/>
    <w:qFormat/>
    <w:uiPriority w:val="0"/>
    <w:rPr>
      <w:kern w:val="2"/>
      <w:sz w:val="24"/>
      <w:szCs w:val="24"/>
    </w:rPr>
  </w:style>
  <w:style w:type="paragraph" w:customStyle="1" w:styleId="67">
    <w:name w:val="条文章节"/>
    <w:basedOn w:val="1"/>
    <w:link w:val="69"/>
    <w:qFormat/>
    <w:uiPriority w:val="0"/>
    <w:pPr>
      <w:pageBreakBefore/>
      <w:spacing w:beforeLines="50" w:line="400" w:lineRule="exact"/>
      <w:ind w:firstLine="480"/>
      <w:jc w:val="center"/>
    </w:pPr>
    <w:rPr>
      <w:rFonts w:ascii="宋体" w:hAnsi="宋体"/>
      <w:b/>
      <w:sz w:val="28"/>
      <w:szCs w:val="28"/>
    </w:rPr>
  </w:style>
  <w:style w:type="paragraph" w:customStyle="1" w:styleId="68">
    <w:name w:val="条文小节标题"/>
    <w:basedOn w:val="1"/>
    <w:link w:val="70"/>
    <w:qFormat/>
    <w:uiPriority w:val="0"/>
    <w:pPr>
      <w:spacing w:line="400" w:lineRule="exact"/>
      <w:jc w:val="center"/>
    </w:pPr>
    <w:rPr>
      <w:rFonts w:ascii="宋体" w:hAnsi="宋体"/>
      <w:b/>
    </w:rPr>
  </w:style>
  <w:style w:type="character" w:customStyle="1" w:styleId="69">
    <w:name w:val="条文章节 Char"/>
    <w:basedOn w:val="22"/>
    <w:link w:val="67"/>
    <w:qFormat/>
    <w:uiPriority w:val="0"/>
    <w:rPr>
      <w:rFonts w:ascii="宋体" w:hAnsi="宋体" w:eastAsia="宋体"/>
      <w:b/>
      <w:kern w:val="2"/>
      <w:sz w:val="28"/>
      <w:szCs w:val="28"/>
    </w:rPr>
  </w:style>
  <w:style w:type="character" w:customStyle="1" w:styleId="70">
    <w:name w:val="条文小节标题 Char"/>
    <w:basedOn w:val="22"/>
    <w:link w:val="68"/>
    <w:qFormat/>
    <w:uiPriority w:val="0"/>
    <w:rPr>
      <w:rFonts w:ascii="宋体" w:hAnsi="宋体" w:eastAsia="宋体"/>
      <w:b/>
      <w:kern w:val="2"/>
      <w:sz w:val="24"/>
      <w:szCs w:val="24"/>
    </w:rPr>
  </w:style>
  <w:style w:type="character" w:customStyle="1" w:styleId="71">
    <w:name w:val="页脚 Char"/>
    <w:basedOn w:val="22"/>
    <w:link w:val="14"/>
    <w:qFormat/>
    <w:uiPriority w:val="99"/>
    <w:rPr>
      <w:kern w:val="2"/>
      <w:sz w:val="18"/>
      <w:szCs w:val="18"/>
    </w:rPr>
  </w:style>
  <w:style w:type="paragraph" w:customStyle="1" w:styleId="72">
    <w:name w:val="reader-word-layer"/>
    <w:basedOn w:val="1"/>
    <w:qFormat/>
    <w:uiPriority w:val="0"/>
    <w:pPr>
      <w:widowControl/>
      <w:spacing w:before="100" w:beforeAutospacing="1" w:after="100" w:afterAutospacing="1"/>
      <w:jc w:val="left"/>
    </w:pPr>
    <w:rPr>
      <w:rFonts w:ascii="宋体" w:hAnsi="宋体" w:cs="宋体"/>
      <w:kern w:val="0"/>
    </w:rPr>
  </w:style>
  <w:style w:type="character" w:customStyle="1" w:styleId="73">
    <w:name w:val="正文文本 Char"/>
    <w:basedOn w:val="22"/>
    <w:link w:val="9"/>
    <w:qFormat/>
    <w:uiPriority w:val="1"/>
    <w:rPr>
      <w:rFonts w:ascii="宋体" w:cs="宋体"/>
      <w:sz w:val="32"/>
      <w:szCs w:val="32"/>
    </w:rPr>
  </w:style>
  <w:style w:type="paragraph" w:customStyle="1" w:styleId="74">
    <w:name w:val="标题 41"/>
    <w:basedOn w:val="1"/>
    <w:qFormat/>
    <w:uiPriority w:val="1"/>
    <w:pPr>
      <w:autoSpaceDE w:val="0"/>
      <w:autoSpaceDN w:val="0"/>
      <w:adjustRightInd w:val="0"/>
      <w:jc w:val="left"/>
      <w:outlineLvl w:val="3"/>
    </w:pPr>
    <w:rPr>
      <w:rFonts w:ascii="PMingLiU" w:eastAsia="PMingLiU" w:cs="PMingLiU"/>
      <w:kern w:val="0"/>
      <w:sz w:val="36"/>
      <w:szCs w:val="36"/>
    </w:rPr>
  </w:style>
  <w:style w:type="paragraph" w:customStyle="1" w:styleId="75">
    <w:name w:val="Table Paragraph"/>
    <w:basedOn w:val="1"/>
    <w:qFormat/>
    <w:uiPriority w:val="1"/>
    <w:pPr>
      <w:autoSpaceDE w:val="0"/>
      <w:autoSpaceDN w:val="0"/>
      <w:adjustRightInd w:val="0"/>
      <w:jc w:val="left"/>
    </w:pPr>
    <w:rPr>
      <w:kern w:val="0"/>
    </w:rPr>
  </w:style>
  <w:style w:type="paragraph" w:customStyle="1" w:styleId="76">
    <w:name w:val="修订1"/>
    <w:qFormat/>
    <w:uiPriority w:val="99"/>
    <w:rPr>
      <w:rFonts w:ascii="Times New Roman" w:hAnsi="Times New Roman" w:eastAsia="宋体" w:cs="Times New Roman"/>
      <w:kern w:val="2"/>
      <w:sz w:val="21"/>
      <w:szCs w:val="24"/>
      <w:lang w:val="en-US" w:eastAsia="zh-CN" w:bidi="ar-SA"/>
    </w:rPr>
  </w:style>
  <w:style w:type="paragraph" w:customStyle="1" w:styleId="77">
    <w:name w:val="列出段落2"/>
    <w:basedOn w:val="1"/>
    <w:qFormat/>
    <w:uiPriority w:val="34"/>
    <w:pPr>
      <w:ind w:firstLine="420" w:firstLineChars="200"/>
    </w:pPr>
  </w:style>
  <w:style w:type="paragraph" w:customStyle="1" w:styleId="78">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B4DD5-ABF7-482E-BF64-C6355539D7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1148</Words>
  <Characters>6546</Characters>
  <Lines>54</Lines>
  <Paragraphs>15</Paragraphs>
  <TotalTime>17</TotalTime>
  <ScaleCrop>false</ScaleCrop>
  <LinksUpToDate>false</LinksUpToDate>
  <CharactersWithSpaces>7679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2020-02-21T01:02:00Z</dcterms:created>
  <dc:creator>user</dc:creator>
  <cp:lastModifiedBy>三层肉怪兽</cp:lastModifiedBy>
  <cp:lastPrinted>2016-12-07T09:07:00Z</cp:lastPrinted>
  <dcterms:modified xsi:type="dcterms:W3CDTF">2021-01-29T00:24:05Z</dcterms:modified>
  <dc:title>UDC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