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宋体" w:eastAsia="方正小标宋简体" w:cs="宋体"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  <w:u w:val="none"/>
          <w:lang w:val="en-US" w:eastAsia="zh-CN"/>
        </w:rPr>
        <w:t>聚焦提升城市能级，在打造极具特色的现代化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  <w:u w:val="none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highlight w:val="none"/>
          <w:u w:val="none"/>
          <w:lang w:val="en-US" w:eastAsia="zh-CN"/>
        </w:rPr>
        <w:t>城市上实现新突破行动计划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" w:hAnsi="仿宋" w:eastAsia="仿宋" w:cs="仿宋"/>
          <w:b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highlight w:val="none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按照《中共长春市委关于实施全面振兴新突破三年攻坚行动的决定》，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</w:rPr>
        <w:t>为加快实施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长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春全面振兴新突破三年攻坚行动计划，全面提升城市能级品质，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制定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本行动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default" w:ascii="黑体" w:hAnsi="黑体" w:eastAsia="黑体" w:cs="黑体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u w:val="none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bCs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sz w:val="36"/>
          <w:szCs w:val="36"/>
          <w:highlight w:val="none"/>
          <w:u w:val="none"/>
          <w:lang w:val="en-US" w:eastAsia="zh-CN"/>
        </w:rPr>
        <w:t>（一）指导思想。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  <w:lang w:val="en-US" w:eastAsia="zh-CN"/>
        </w:rPr>
        <w:t>坚持以习近平新时代中国特色社会主义思想为指导，全面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  <w:lang w:val="en" w:eastAsia="zh-CN"/>
        </w:rPr>
        <w:t>贯彻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  <w:lang w:val="en-US" w:eastAsia="zh-CN"/>
        </w:rPr>
        <w:t>党的二十大精神和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  <w:lang w:val="en" w:eastAsia="zh-CN"/>
        </w:rPr>
        <w:t>习近平总书记关于城市工作的重要论述精神，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  <w:lang w:val="en-US" w:eastAsia="zh-CN"/>
        </w:rPr>
        <w:t>深入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  <w:lang w:val="en" w:eastAsia="zh-CN"/>
        </w:rPr>
        <w:t>落实省委“一主六双”高质量发展战略，以强烈的文化意识指导城市规划、建设和管理，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</w:rPr>
        <w:t>持续优化功能布局，强化交通体系建设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  <w:lang w:val="en-US" w:eastAsia="zh-CN"/>
        </w:rPr>
        <w:t>，完善要素保障能力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</w:rPr>
        <w:t>，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  <w:lang w:val="en-US" w:eastAsia="zh-CN"/>
        </w:rPr>
        <w:t>提升城市能级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</w:rPr>
        <w:t>，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  <w:lang w:val="en-US" w:eastAsia="zh-CN"/>
        </w:rPr>
        <w:t>打造极具特色的现代化</w:t>
      </w:r>
      <w:r>
        <w:rPr>
          <w:rFonts w:hint="eastAsia" w:ascii="仿宋" w:hAnsi="仿宋" w:eastAsia="仿宋" w:cs="仿宋"/>
          <w:bCs/>
          <w:sz w:val="36"/>
          <w:szCs w:val="36"/>
          <w:highlight w:val="none"/>
        </w:rPr>
        <w:t>区域性中心城市。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sz w:val="36"/>
          <w:szCs w:val="36"/>
          <w:highlight w:val="none"/>
          <w:u w:val="none"/>
          <w:lang w:val="en-US" w:eastAsia="zh-CN"/>
        </w:rPr>
        <w:t>（二）奋斗目标。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围绕城市规划和建设，到2025年末，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" w:eastAsia="zh-CN" w:bidi="ar-SA"/>
        </w:rPr>
        <w:t>建立“总规统领、专项保障、详规落实”的横向到边、纵向到底的国土空间规划体系，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推动高速公路网由“一环六射”转为“两环九射”，基本建成“双快”交通体系，提升城市要素保障、绿色生态和精细化管理，推动建筑业、房地产业高质量发展，保障城市建筑、燃气、防汛等领域安全。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default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实施“八大提升工程”，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即城市空间规划提升工程、城市交通基础设施建设提升工程、城市要素保障提升工程、城市绿色生态提升工程、城市精细化管理提升工程、建筑业及房地产业高质量发展提升工程、城市更新提升工程、建设领域安全提升工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hint="default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（一）城市空间规划提升工程。</w:t>
      </w:r>
      <w:r>
        <w:rPr>
          <w:rFonts w:hint="eastAsia" w:ascii="仿宋" w:hAnsi="仿宋" w:eastAsia="仿宋" w:cs="仿宋"/>
          <w:color w:val="000000"/>
          <w:sz w:val="36"/>
          <w:szCs w:val="36"/>
          <w:shd w:val="clear" w:color="auto" w:fill="FFFFFF"/>
        </w:rPr>
        <w:t>编制实施1个市级、6个县级、101个乡（镇）国土空间总体规划；建立全市国土空间专项规划体系，完善专项规划编制目录清单管理制度；</w:t>
      </w:r>
      <w:r>
        <w:rPr>
          <w:rFonts w:hint="eastAsia" w:ascii="仿宋" w:hAnsi="仿宋" w:eastAsia="仿宋" w:cs="仿宋"/>
          <w:color w:val="000000"/>
          <w:sz w:val="36"/>
          <w:szCs w:val="36"/>
          <w:shd w:val="clear" w:color="auto" w:fill="FFFFFF"/>
          <w:lang w:val="en"/>
        </w:rPr>
        <w:t>城镇开发边界内新编修编详细规划覆盖面积≥100</w:t>
      </w:r>
      <w:r>
        <w:rPr>
          <w:rFonts w:hint="eastAsia" w:ascii="仿宋" w:hAnsi="仿宋" w:eastAsia="仿宋" w:cs="仿宋"/>
          <w:color w:val="000000"/>
          <w:sz w:val="36"/>
          <w:szCs w:val="36"/>
          <w:shd w:val="clear" w:color="auto" w:fill="FFFFFF"/>
        </w:rPr>
        <w:t>平方公里。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（二）城市交通基础设施建设提升工程</w:t>
      </w: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" w:eastAsia="zh-CN" w:bidi="ar-SA"/>
        </w:rPr>
        <w:t>。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域内高速公路通车里程达1231公里；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" w:eastAsia="zh-CN" w:bidi="ar-SA"/>
        </w:rPr>
        <w:t>基本建成“双快”交通体系，轨道交通运营里程力争达到235公里，城市快速路力争达到120公里；加快干、支路网建设，建成道路面积率达到16.8%；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新建改造农村公路10000公里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（三）城市要素保障提升工程</w:t>
      </w: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" w:eastAsia="zh-CN" w:bidi="ar-SA"/>
        </w:rPr>
        <w:t>。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" w:eastAsia="zh-CN" w:bidi="ar-SA"/>
        </w:rPr>
        <w:t>城区供水能力达到148万吨/日，供水管网漏损率控制在10%；城市管道燃气普及率超96%；集中供热普及率维持90%以上，清洁能源供热占比提升至10%；城市污水处理能力达到290万吨/日，非雨季处理率达到100%。实现供（排）水、燃气、供热等城市生命线智慧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（四）城市绿色生态提升工程。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高质量完成50万亩大规模国土绿化；高标准提升“三带”（环城绿化带、西部防风御沙林、机场路风景林）景观功能品质；新建绿化美化村屯369个；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" w:eastAsia="zh-CN" w:bidi="ar-SA"/>
        </w:rPr>
        <w:t>提升历史文化街区景观；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建设“一脉一水”近郊山水绿道，打造城市精品慢行绿道及环线绿道；提升城市公园基础设施，每年建设50个口袋公园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（五）城市精细化管理提升工程。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推进城市管理便民服务各项举措；建立分类投放、收集、运输和处理系统，城市生</w:t>
      </w:r>
      <w:r>
        <w:rPr>
          <w:rFonts w:ascii="仿宋" w:hAnsi="仿宋" w:eastAsia="仿宋" w:cs="Calibri"/>
          <w:sz w:val="36"/>
          <w:szCs w:val="36"/>
          <w:highlight w:val="none"/>
        </w:rPr>
        <w:t>活垃圾回收利用率40%</w:t>
      </w:r>
      <w:r>
        <w:rPr>
          <w:rFonts w:hint="eastAsia" w:ascii="仿宋" w:hAnsi="仿宋" w:eastAsia="仿宋" w:cs="Calibri"/>
          <w:sz w:val="36"/>
          <w:szCs w:val="36"/>
          <w:highlight w:val="none"/>
          <w:lang w:eastAsia="zh-CN"/>
        </w:rPr>
        <w:t>；</w:t>
      </w:r>
      <w:r>
        <w:rPr>
          <w:rFonts w:hint="eastAsia" w:ascii="仿宋" w:hAnsi="仿宋" w:eastAsia="仿宋" w:cs="Calibri"/>
          <w:sz w:val="36"/>
          <w:szCs w:val="36"/>
          <w:highlight w:val="none"/>
        </w:rPr>
        <w:t>实现原生生活垃圾“零填埋”</w:t>
      </w:r>
      <w:r>
        <w:rPr>
          <w:rFonts w:hint="eastAsia" w:ascii="仿宋" w:hAnsi="仿宋" w:eastAsia="仿宋" w:cs="Calibri"/>
          <w:sz w:val="36"/>
          <w:szCs w:val="36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（六）建筑业及房地产业高质量发展提升工程。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建筑业产值达到1700亿元左右，平均年增速9%以上；装配式建筑面积比例达到30%，绿色建筑占新建建筑比例达100%。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u w:val="none"/>
          <w:shd w:val="clear" w:color="auto" w:fill="FFFFFF"/>
          <w:lang w:val="en-US" w:eastAsia="zh-CN"/>
        </w:rPr>
        <w:t>商品房销售面积达到568万平方米，增速达到5%。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（七）城市更新提升工程。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完成老旧小区改造419个；新建公共充电桩2.4万个，桩车比不低于1:5；打造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人民大街北段、南广场、商</w:t>
      </w:r>
      <w:r>
        <w:rPr>
          <w:rFonts w:hint="eastAsia" w:ascii="仿宋" w:hAnsi="仿宋" w:eastAsia="仿宋" w:cs="仿宋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埠地等历史文化街区城市更新项目。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（八）建设领域安全提升工程。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实施建筑施工源头治理、城市燃气安全管理，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zh-CN" w:eastAsia="zh-CN"/>
        </w:rPr>
        <w:t>提升城市防洪排涝能力，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力争遏制一般事故，杜绝较大以上事故发生。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20"/>
        <w:jc w:val="both"/>
        <w:textAlignment w:val="auto"/>
        <w:rPr>
          <w:rFonts w:ascii="黑体" w:hAnsi="黑体" w:eastAsia="黑体" w:cs="黑体"/>
          <w:sz w:val="36"/>
          <w:szCs w:val="36"/>
          <w:highlight w:val="none"/>
          <w:u w:val="none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二</w:t>
      </w:r>
      <w:r>
        <w:rPr>
          <w:rFonts w:ascii="黑体" w:hAnsi="黑体" w:eastAsia="黑体" w:cs="仿宋_GB2312"/>
          <w:color w:val="000000"/>
          <w:sz w:val="36"/>
          <w:szCs w:val="36"/>
          <w:highlight w:val="none"/>
          <w:u w:val="none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6"/>
          <w:szCs w:val="36"/>
          <w:highlight w:val="none"/>
          <w:u w:val="none"/>
        </w:rPr>
        <w:t>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default" w:ascii="楷体" w:hAnsi="楷体" w:eastAsia="楷体" w:cs="仿宋_GB2312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  <w:lang w:eastAsia="zh-CN"/>
        </w:rPr>
        <w:t>（一）城市</w:t>
      </w: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  <w:lang w:val="en-US" w:eastAsia="zh-CN"/>
        </w:rPr>
        <w:t>空间规划提升工程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1.国土空间规划编制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工作</w:t>
      </w:r>
      <w:r>
        <w:rPr>
          <w:rFonts w:hint="default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目标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zh-CN" w:eastAsia="zh-CN" w:bidi="ar-SA"/>
        </w:rPr>
        <w:t>到2025年末，实现全市国土空间规划全覆盖。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楷体" w:hAnsi="楷体" w:eastAsia="楷体" w:cs="仿宋_GB2312"/>
          <w:sz w:val="36"/>
          <w:szCs w:val="36"/>
          <w:highlight w:val="none"/>
          <w:u w:val="none"/>
        </w:rPr>
      </w:pP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</w:rPr>
        <w:t>（</w:t>
      </w: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  <w:lang w:eastAsia="zh-CN"/>
        </w:rPr>
        <w:t>二</w:t>
      </w: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</w:rPr>
        <w:t>）</w:t>
      </w: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  <w:lang w:val="en-US" w:eastAsia="zh-CN"/>
        </w:rPr>
        <w:t>城市交通基础设施建设提升工程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b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2.高速公路建设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</w:rPr>
        <w:t>推动高速公路网由“一环六射”转为“两环九射”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具体任务：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</w:rPr>
        <w:t>实施都市圈环线高速公路项目，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到2025年末，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</w:rPr>
        <w:t>域内高速公路通车里程增加到1231公里。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b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highlight w:val="none"/>
          <w:u w:val="none"/>
          <w:shd w:val="clear" w:color="auto" w:fill="FFFFFF"/>
        </w:rPr>
        <w:t>.龙嘉机场三期扩建枢纽配套工程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，全面开工建设龙嘉站扩建等机场三期枢纽配套工程。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  <w:t>.轨道交通工程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shd w:val="clear" w:color="auto" w:fill="FFFFFF"/>
        </w:rPr>
        <w:t>，在现状运营里程111.2公里的基础上，力争达到235公里。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.城市快速路工程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，在现有90.4公里的快速路交通里程数基础上，力争达到120公里。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.城市干路网工程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，在现状1214.7公里的基础上，干路里程力争达到1310公里。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.城市支路网工程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完成新建支路网100公里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建成道路面积率达到16.8%。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8.农村公路建设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工作目标：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到2025年，全市农村公路实现“四销号、两提升”，即危桥改造销号、安防工程销号、自然屯通硬化路销号、次差路销号，路网提质升级、养护提质升级。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hint="eastAsia" w:ascii="楷体" w:hAnsi="楷体" w:eastAsia="楷体" w:cs="仿宋_GB2312"/>
          <w:sz w:val="36"/>
          <w:szCs w:val="36"/>
          <w:highlight w:val="none"/>
          <w:u w:val="none"/>
        </w:rPr>
      </w:pP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</w:rPr>
        <w:t>（</w:t>
      </w: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  <w:lang w:eastAsia="zh-CN"/>
        </w:rPr>
        <w:t>三</w:t>
      </w: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</w:rPr>
        <w:t>）</w:t>
      </w:r>
      <w:r>
        <w:rPr>
          <w:rFonts w:hint="eastAsia" w:ascii="楷体" w:hAnsi="楷体" w:eastAsia="楷体" w:cs="仿宋_GB2312"/>
          <w:sz w:val="36"/>
          <w:szCs w:val="36"/>
          <w:highlight w:val="none"/>
          <w:u w:val="none"/>
          <w:lang w:val="en-US" w:eastAsia="zh-CN"/>
        </w:rPr>
        <w:t>城市要素保障提升工程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.供水工程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highlight w:val="none"/>
          <w:u w:val="none"/>
          <w:shd w:val="clear" w:color="auto" w:fill="FFFFFF"/>
        </w:rPr>
        <w:t>全市供水能力达到148万吨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FFFFFF"/>
        </w:rPr>
        <w:t>/日，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shd w:val="clear" w:color="auto" w:fill="FFFFFF"/>
        </w:rPr>
        <w:t>供水管网漏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shd w:val="clear" w:color="auto" w:fill="FFFFFF"/>
          <w:lang w:eastAsia="zh-CN"/>
        </w:rPr>
        <w:t>损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shd w:val="clear" w:color="auto" w:fill="FFFFFF"/>
        </w:rPr>
        <w:t>率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shd w:val="clear" w:color="auto" w:fill="FFFFFF"/>
          <w:lang w:eastAsia="zh-CN"/>
        </w:rPr>
        <w:t>控制在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shd w:val="clear" w:color="auto" w:fill="FFFFFF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.燃气工程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，LNG应急储气能力达到6600万立方米，城市管道燃气普及率超96%。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.供热工程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，城市集中供热普及率维持90%以上，清洁能源供热占比提升至10%。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u w:val="none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u w:val="none"/>
          <w:shd w:val="clear" w:color="auto" w:fill="FFFFFF"/>
        </w:rPr>
        <w:t>.排水工程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楷体" w:hAnsi="楷体" w:eastAsia="楷体" w:cs="楷体"/>
          <w:bCs/>
          <w:sz w:val="36"/>
          <w:szCs w:val="36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，城市污水处理能力达到290万吨/日，非雨季处理率达到100%，全市75个建制镇污水收集处理设施实现全覆盖。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 xml:space="preserve">   </w:t>
      </w:r>
      <w:r>
        <w:rPr>
          <w:rFonts w:hint="eastAsia" w:ascii="楷体" w:hAnsi="楷体" w:eastAsia="楷体" w:cs="楷体"/>
          <w:bCs/>
          <w:sz w:val="36"/>
          <w:szCs w:val="36"/>
          <w:highlight w:val="none"/>
          <w:u w:val="none"/>
          <w:lang w:eastAsia="zh-CN"/>
        </w:rPr>
        <w:t>（四）</w:t>
      </w:r>
      <w:r>
        <w:rPr>
          <w:rFonts w:hint="eastAsia" w:ascii="楷体" w:hAnsi="楷体" w:eastAsia="楷体" w:cs="楷体"/>
          <w:bCs/>
          <w:sz w:val="36"/>
          <w:szCs w:val="36"/>
          <w:highlight w:val="none"/>
          <w:u w:val="none"/>
          <w:lang w:val="en-US" w:eastAsia="zh-CN"/>
        </w:rPr>
        <w:t>城市绿色生态提升工程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13.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绿色生态景观建设工程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工作目标：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到2025年，全市生态脆弱短板基本补齐，生态系统稳定性显著增强，城乡人居生态环境明显提升，初步形成林廊环绕、地肥水美、城乡盈绿的生态景观。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712" w:firstLineChars="200"/>
        <w:jc w:val="both"/>
        <w:textAlignment w:val="auto"/>
        <w:rPr>
          <w:rFonts w:hint="eastAsia" w:ascii="楷体" w:hAnsi="楷体" w:eastAsia="楷体" w:cs="楷体"/>
          <w:sz w:val="36"/>
          <w:szCs w:val="36"/>
          <w:highlight w:val="none"/>
          <w:lang w:eastAsia="zh-CN"/>
        </w:rPr>
      </w:pPr>
      <w:r>
        <w:rPr>
          <w:rFonts w:hint="eastAsia" w:ascii="楷体" w:hAnsi="楷体" w:eastAsia="楷体" w:cs="楷体"/>
          <w:sz w:val="36"/>
          <w:szCs w:val="36"/>
          <w:highlight w:val="none"/>
          <w:lang w:eastAsia="zh-CN"/>
        </w:rPr>
        <w:t>（五）</w:t>
      </w:r>
      <w:r>
        <w:rPr>
          <w:rFonts w:hint="eastAsia" w:ascii="楷体" w:hAnsi="楷体" w:eastAsia="楷体" w:cs="楷体"/>
          <w:sz w:val="36"/>
          <w:szCs w:val="36"/>
          <w:highlight w:val="none"/>
          <w:lang w:val="en-US" w:eastAsia="zh-CN"/>
        </w:rPr>
        <w:t>城市精细化管理提升工程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14.城市精细化管理提升工程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工作目标：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开展城市管理三年提升行动，着力补短板、强弱项、固底板、扬优势，推动城市管理水平全面上档升级。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楷体" w:hAnsi="楷体" w:eastAsia="楷体" w:cs="楷体"/>
          <w:bCs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Cs/>
          <w:sz w:val="36"/>
          <w:szCs w:val="36"/>
          <w:highlight w:val="none"/>
          <w:u w:val="none"/>
          <w:lang w:val="en-US" w:eastAsia="zh-CN"/>
        </w:rPr>
        <w:t>（六）建筑业及房地产业高质量发展提升工程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15.建筑业发展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，力争建筑业产值达到1700亿元左右，平均年增速9%以上。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default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16.房地产业发展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完善房地产长效机制，科学调控房地产市场，促进房地产市场平稳健康发展。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17.棚户区改造工程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default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2023年至2025年计划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改造棚户区10088套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，基本完成市区三环内现有城市棚户区改造。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18.保障性住房工程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工作目标：</w:t>
      </w:r>
      <w:r>
        <w:rPr>
          <w:rFonts w:hint="eastAsia" w:ascii="仿宋" w:hAnsi="仿宋" w:eastAsia="仿宋" w:cs="仿宋"/>
          <w:b w:val="0"/>
          <w:bCs/>
          <w:color w:val="000000"/>
          <w:sz w:val="36"/>
          <w:szCs w:val="36"/>
          <w:u w:val="none"/>
          <w:shd w:val="clear" w:color="auto" w:fill="FFFFFF"/>
          <w:lang w:val="en-US" w:eastAsia="zh-CN"/>
        </w:rPr>
        <w:t>2023年至2025年计划新增公租房1500套，筹集保障性租赁住房18800套（间）。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楷体" w:hAnsi="楷体" w:eastAsia="楷体" w:cs="楷体"/>
          <w:bCs/>
          <w:sz w:val="36"/>
          <w:szCs w:val="36"/>
          <w:highlight w:val="none"/>
          <w:u w:val="none"/>
          <w:lang w:val="en-US" w:eastAsia="zh-CN"/>
        </w:rPr>
        <w:t>（七）城市更新提升工程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19.老旧小区改造工程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，重点实施419个老旧小区改造，同步推进架空线整治；实施小区更换、增设楼道照明设施行动，消除“黑楼道”。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.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  <w:t>公共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充电桩建设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，新建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  <w:t>公共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充电桩2.4万个，桩车比不低于1:5。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21.历史文化街区城市更新项目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712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截止2025年末，人民大街北段、南广场、商埠地项目全部竣工。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712" w:firstLineChars="200"/>
        <w:jc w:val="both"/>
        <w:textAlignment w:val="auto"/>
        <w:rPr>
          <w:rFonts w:hint="eastAsia" w:ascii="楷体" w:hAnsi="楷体" w:eastAsia="楷体" w:cs="楷体"/>
          <w:bCs/>
          <w:kern w:val="2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bCs/>
          <w:kern w:val="2"/>
          <w:sz w:val="36"/>
          <w:szCs w:val="36"/>
          <w:highlight w:val="none"/>
          <w:u w:val="none"/>
          <w:lang w:val="en-US" w:eastAsia="zh-CN" w:bidi="ar-SA"/>
        </w:rPr>
        <w:t>（八）建设领域安全提升工程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highlight w:val="none"/>
          <w:u w:val="none"/>
          <w:lang w:val="en-US" w:eastAsia="zh-CN" w:bidi="ar-SA"/>
        </w:rPr>
        <w:t>22.建筑领域安全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工作目标：</w:t>
      </w:r>
      <w:r>
        <w:rPr>
          <w:rFonts w:hint="eastAsia" w:ascii="仿宋" w:hAnsi="仿宋" w:eastAsia="仿宋" w:cs="仿宋"/>
          <w:sz w:val="36"/>
          <w:szCs w:val="36"/>
          <w:highlight w:val="none"/>
        </w:rPr>
        <w:t>通过三年时间，全市建筑工地安全管理水平进一步提升，力争遏制一般事故，杜绝较大以上事故发生。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lang w:val="en-US" w:eastAsia="zh-CN"/>
        </w:rPr>
        <w:t>23.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lang w:eastAsia="zh-CN"/>
        </w:rPr>
        <w:t>城区防汛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到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2025年末，全面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zh-CN"/>
        </w:rPr>
        <w:t>提升城市防洪排涝能力。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1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24.燃气安全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highlight w:val="none"/>
          <w:u w:val="none"/>
          <w:shd w:val="clear" w:color="auto" w:fill="FFFFFF"/>
        </w:rPr>
        <w:t>工作目标：</w:t>
      </w:r>
      <w:r>
        <w:rPr>
          <w:rFonts w:hint="eastAsia" w:ascii="仿宋" w:hAnsi="仿宋" w:eastAsia="仿宋" w:cs="仿宋"/>
          <w:sz w:val="36"/>
          <w:szCs w:val="36"/>
          <w:highlight w:val="none"/>
          <w:lang w:eastAsia="zh-CN"/>
        </w:rPr>
        <w:t>加强城市燃气安全管理。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instrText xml:space="preserve"> = 1 \* GB3 \* MERGEFORMAT </w:instrTex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①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计划2023年完成全部197万户管道燃气居民用户“阀管灶”改造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instrText xml:space="preserve"> = 2 \* GB3 \* MERGEFORMAT </w:instrTex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②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2023年至2025年，逐步推进“瓶改管”工作；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instrText xml:space="preserve"> = 3 \* GB3 \* MERGEFORMAT </w:instrTex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③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2023年至2025年，组织管道燃气企业加强城市地下管网智能化建设，完善地下管网智能监测系统。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712" w:firstLineChars="200"/>
        <w:jc w:val="both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一是强化组织领导。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建立部门协作配合、区级为主实施、市区两级联动的工作机制。成立工作专班，制定行动计划详细方案。各相关部门（单位）要梳理行动计划的重点领域、关键环节、重要项目及难点堵点问题，按照“五化”工作法要求，细化形成任务书、时间表、路线图，集中发力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default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二是强化项目推动。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加强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城市重大基础设施及配套、要素保障、品质提升、园林绿化等工程</w:t>
      </w:r>
      <w:r>
        <w:rPr>
          <w:rFonts w:hint="eastAsia" w:ascii="仿宋" w:hAnsi="仿宋" w:eastAsia="仿宋" w:cs="仿宋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项目的谋划，完善项目建设方案，推进规划手续审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批，保障项目土地供给，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  <w:t>按时完成建设用地征地、征收工作，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确保项目顺利开工。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三是强化资金保障。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以政府为主导，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加大建设资金支持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力度，积极拓展资金来源渠道，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向上争取各级奖补资金，根据国家政策多渠道筹集专项债等资金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为行动计划提供资金保障。调动各方积极性，引入更多有实力企业，支持重大基础设施项目建设。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1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2"/>
          <w:sz w:val="36"/>
          <w:szCs w:val="36"/>
          <w:highlight w:val="none"/>
          <w:u w:val="none"/>
          <w:shd w:val="clear" w:color="auto" w:fill="FFFFFF"/>
          <w:lang w:val="en-US" w:eastAsia="zh-CN" w:bidi="ar-SA"/>
        </w:rPr>
        <w:t>四是强化督导考核。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建立督导机制，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工作专班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负责抓统筹，建立台账、挂图作战，出台综合评价、督查问效实施办法，确保工作有序推进。明确奖惩考核机制，将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行动计划</w:t>
      </w: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u w:val="none"/>
          <w:shd w:val="clear" w:color="auto" w:fill="FFFFFF"/>
        </w:rPr>
        <w:t>纳入全市绩效考核，创新考核方式，激励争先创优。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jc w:val="both"/>
        <w:textAlignment w:val="auto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 xml:space="preserve">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AndChars"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mZGU2NzcxMzUxNTIxM2I1YjA2YjEzNzg0Yzk0ZmQifQ=="/>
  </w:docVars>
  <w:rsids>
    <w:rsidRoot w:val="003A34D5"/>
    <w:rsid w:val="00071795"/>
    <w:rsid w:val="00151CAB"/>
    <w:rsid w:val="001C02A0"/>
    <w:rsid w:val="001F1E47"/>
    <w:rsid w:val="002A7FE9"/>
    <w:rsid w:val="003944F6"/>
    <w:rsid w:val="003A34D5"/>
    <w:rsid w:val="003B1D2C"/>
    <w:rsid w:val="004B739E"/>
    <w:rsid w:val="00502CD9"/>
    <w:rsid w:val="005131DB"/>
    <w:rsid w:val="0058248B"/>
    <w:rsid w:val="005A6016"/>
    <w:rsid w:val="00614F3E"/>
    <w:rsid w:val="00667922"/>
    <w:rsid w:val="007416F7"/>
    <w:rsid w:val="00742D75"/>
    <w:rsid w:val="00796548"/>
    <w:rsid w:val="00895F5D"/>
    <w:rsid w:val="008E13A4"/>
    <w:rsid w:val="008E2A64"/>
    <w:rsid w:val="008E41DC"/>
    <w:rsid w:val="009A17CC"/>
    <w:rsid w:val="009E5328"/>
    <w:rsid w:val="009F1AE3"/>
    <w:rsid w:val="00A556B3"/>
    <w:rsid w:val="00A64029"/>
    <w:rsid w:val="00AA3286"/>
    <w:rsid w:val="00BC2D6B"/>
    <w:rsid w:val="00BF2E47"/>
    <w:rsid w:val="00D32C7D"/>
    <w:rsid w:val="00E740BE"/>
    <w:rsid w:val="00EE5E59"/>
    <w:rsid w:val="00F21901"/>
    <w:rsid w:val="00F22F9D"/>
    <w:rsid w:val="00F5763E"/>
    <w:rsid w:val="00FB4E26"/>
    <w:rsid w:val="00FF477E"/>
    <w:rsid w:val="01514167"/>
    <w:rsid w:val="019C3A9C"/>
    <w:rsid w:val="027A32CF"/>
    <w:rsid w:val="02DC6C37"/>
    <w:rsid w:val="040556DD"/>
    <w:rsid w:val="04647E61"/>
    <w:rsid w:val="04C9670A"/>
    <w:rsid w:val="04CA7A8D"/>
    <w:rsid w:val="04DD6A07"/>
    <w:rsid w:val="04F512AE"/>
    <w:rsid w:val="063E292B"/>
    <w:rsid w:val="0649781E"/>
    <w:rsid w:val="077010BF"/>
    <w:rsid w:val="07B471FE"/>
    <w:rsid w:val="08346F76"/>
    <w:rsid w:val="087A23B3"/>
    <w:rsid w:val="090D2900"/>
    <w:rsid w:val="096732C1"/>
    <w:rsid w:val="0B0B4453"/>
    <w:rsid w:val="0C552CAB"/>
    <w:rsid w:val="0F075BB4"/>
    <w:rsid w:val="0FE210ED"/>
    <w:rsid w:val="0FF94348"/>
    <w:rsid w:val="102921D2"/>
    <w:rsid w:val="1154554F"/>
    <w:rsid w:val="11DD6199"/>
    <w:rsid w:val="13C36A24"/>
    <w:rsid w:val="13DD7ADC"/>
    <w:rsid w:val="13EC65F4"/>
    <w:rsid w:val="14D902A4"/>
    <w:rsid w:val="14E37374"/>
    <w:rsid w:val="162037A6"/>
    <w:rsid w:val="172341B0"/>
    <w:rsid w:val="18712B12"/>
    <w:rsid w:val="18805170"/>
    <w:rsid w:val="189C55AE"/>
    <w:rsid w:val="19157D18"/>
    <w:rsid w:val="19C91380"/>
    <w:rsid w:val="1A9F7B7C"/>
    <w:rsid w:val="1AB33345"/>
    <w:rsid w:val="1AEB722F"/>
    <w:rsid w:val="1C5B1EE6"/>
    <w:rsid w:val="1CE01ED6"/>
    <w:rsid w:val="1D5D47BE"/>
    <w:rsid w:val="1DBD5565"/>
    <w:rsid w:val="1E0A7739"/>
    <w:rsid w:val="1E200CF1"/>
    <w:rsid w:val="1E232907"/>
    <w:rsid w:val="1E4C1AE7"/>
    <w:rsid w:val="1E9626F5"/>
    <w:rsid w:val="1EE676AB"/>
    <w:rsid w:val="1F4B6F02"/>
    <w:rsid w:val="1F6E586F"/>
    <w:rsid w:val="202C4ABA"/>
    <w:rsid w:val="203767C6"/>
    <w:rsid w:val="20750959"/>
    <w:rsid w:val="20A95EB5"/>
    <w:rsid w:val="21A06EBB"/>
    <w:rsid w:val="228226CA"/>
    <w:rsid w:val="22BE5A7C"/>
    <w:rsid w:val="22C34341"/>
    <w:rsid w:val="231A79AB"/>
    <w:rsid w:val="237044C9"/>
    <w:rsid w:val="25A17F93"/>
    <w:rsid w:val="25CF3D21"/>
    <w:rsid w:val="267F67D1"/>
    <w:rsid w:val="27547C5E"/>
    <w:rsid w:val="282854B4"/>
    <w:rsid w:val="28295DDD"/>
    <w:rsid w:val="28445F24"/>
    <w:rsid w:val="28E563DF"/>
    <w:rsid w:val="292F44DF"/>
    <w:rsid w:val="296B6BBA"/>
    <w:rsid w:val="2A1B13F9"/>
    <w:rsid w:val="2AB06293"/>
    <w:rsid w:val="2E0C4DEE"/>
    <w:rsid w:val="2E4C78E1"/>
    <w:rsid w:val="2F0F0938"/>
    <w:rsid w:val="2F1324F7"/>
    <w:rsid w:val="307A24E3"/>
    <w:rsid w:val="326154E8"/>
    <w:rsid w:val="3436175E"/>
    <w:rsid w:val="34436545"/>
    <w:rsid w:val="347B14D1"/>
    <w:rsid w:val="35135D6B"/>
    <w:rsid w:val="37DE4F42"/>
    <w:rsid w:val="38AF3FE2"/>
    <w:rsid w:val="3A771822"/>
    <w:rsid w:val="3AC428AC"/>
    <w:rsid w:val="3BCB0DB1"/>
    <w:rsid w:val="3D12059C"/>
    <w:rsid w:val="3D226D23"/>
    <w:rsid w:val="3E214CE4"/>
    <w:rsid w:val="3E310705"/>
    <w:rsid w:val="3E7C80A7"/>
    <w:rsid w:val="3EFB5E67"/>
    <w:rsid w:val="3FAAADBB"/>
    <w:rsid w:val="3FFFF2D3"/>
    <w:rsid w:val="40AB40E4"/>
    <w:rsid w:val="4214206C"/>
    <w:rsid w:val="43396BB6"/>
    <w:rsid w:val="43B24DC9"/>
    <w:rsid w:val="44BF5397"/>
    <w:rsid w:val="48206228"/>
    <w:rsid w:val="4A0C3670"/>
    <w:rsid w:val="4BC62629"/>
    <w:rsid w:val="4BC90AE9"/>
    <w:rsid w:val="4F121379"/>
    <w:rsid w:val="4F4E7793"/>
    <w:rsid w:val="50C51101"/>
    <w:rsid w:val="515E23A2"/>
    <w:rsid w:val="52312E7B"/>
    <w:rsid w:val="5345477B"/>
    <w:rsid w:val="56755080"/>
    <w:rsid w:val="576D604E"/>
    <w:rsid w:val="57E63BF7"/>
    <w:rsid w:val="58A837E2"/>
    <w:rsid w:val="58D76179"/>
    <w:rsid w:val="595E56DA"/>
    <w:rsid w:val="5A594F47"/>
    <w:rsid w:val="5B6F5A3A"/>
    <w:rsid w:val="5B98279E"/>
    <w:rsid w:val="5D7B7C4F"/>
    <w:rsid w:val="5D8A0BDA"/>
    <w:rsid w:val="5E604B5F"/>
    <w:rsid w:val="5E781092"/>
    <w:rsid w:val="5FBF6AF5"/>
    <w:rsid w:val="603C0CB4"/>
    <w:rsid w:val="604C539B"/>
    <w:rsid w:val="60761477"/>
    <w:rsid w:val="60A70834"/>
    <w:rsid w:val="625F7556"/>
    <w:rsid w:val="62A03B5D"/>
    <w:rsid w:val="62C26664"/>
    <w:rsid w:val="647F3DCF"/>
    <w:rsid w:val="64E30A47"/>
    <w:rsid w:val="65083ED2"/>
    <w:rsid w:val="68907DEF"/>
    <w:rsid w:val="6A400088"/>
    <w:rsid w:val="6B621F16"/>
    <w:rsid w:val="6BE31BB0"/>
    <w:rsid w:val="6BE82E3C"/>
    <w:rsid w:val="6C376B26"/>
    <w:rsid w:val="6CAB694F"/>
    <w:rsid w:val="6DF97811"/>
    <w:rsid w:val="6EB1723D"/>
    <w:rsid w:val="6F76066E"/>
    <w:rsid w:val="6F963F3C"/>
    <w:rsid w:val="6FA523D2"/>
    <w:rsid w:val="70A95EF1"/>
    <w:rsid w:val="70B75241"/>
    <w:rsid w:val="72966949"/>
    <w:rsid w:val="72F455A0"/>
    <w:rsid w:val="73835CCC"/>
    <w:rsid w:val="73DB2866"/>
    <w:rsid w:val="73F555AD"/>
    <w:rsid w:val="74F85840"/>
    <w:rsid w:val="750E2B18"/>
    <w:rsid w:val="75AD0DB3"/>
    <w:rsid w:val="76474AF4"/>
    <w:rsid w:val="76C80F53"/>
    <w:rsid w:val="76D637B8"/>
    <w:rsid w:val="776C53D2"/>
    <w:rsid w:val="7879089F"/>
    <w:rsid w:val="79E97E62"/>
    <w:rsid w:val="7AD93BFB"/>
    <w:rsid w:val="7B2C7E4B"/>
    <w:rsid w:val="7B304D43"/>
    <w:rsid w:val="7B8F5F90"/>
    <w:rsid w:val="7BCF898E"/>
    <w:rsid w:val="7CCF4E57"/>
    <w:rsid w:val="7D0A5F6A"/>
    <w:rsid w:val="7D1F629C"/>
    <w:rsid w:val="7D870FFA"/>
    <w:rsid w:val="7DBF5D1D"/>
    <w:rsid w:val="7EA56E0E"/>
    <w:rsid w:val="7ECB1795"/>
    <w:rsid w:val="7EFB0260"/>
    <w:rsid w:val="D4BB3704"/>
    <w:rsid w:val="DBD9E2F9"/>
    <w:rsid w:val="DDDE899F"/>
    <w:rsid w:val="EBF7571E"/>
    <w:rsid w:val="EFFEF0B1"/>
    <w:rsid w:val="F59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BodyText"/>
    <w:basedOn w:val="1"/>
    <w:qFormat/>
    <w:uiPriority w:val="0"/>
    <w:pPr>
      <w:spacing w:after="120"/>
    </w:pPr>
    <w:rPr>
      <w:rFonts w:ascii="Arial" w:hAnsi="Arial" w:eastAsia="方正仿宋_GBK"/>
      <w:bCs/>
      <w:sz w:val="32"/>
      <w:szCs w:val="32"/>
    </w:rPr>
  </w:style>
  <w:style w:type="character" w:customStyle="1" w:styleId="9">
    <w:name w:val="正文文本 字符"/>
    <w:basedOn w:val="7"/>
    <w:link w:val="2"/>
    <w:qFormat/>
    <w:uiPriority w:val="99"/>
    <w:rPr>
      <w:rFonts w:ascii="Calibri" w:hAnsi="Calibri" w:eastAsia="宋体" w:cs="Times New Roman"/>
      <w:sz w:val="32"/>
      <w:szCs w:val="24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fontstyle21"/>
    <w:basedOn w:val="7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3136</Words>
  <Characters>3389</Characters>
  <Lines>53</Lines>
  <Paragraphs>15</Paragraphs>
  <TotalTime>60</TotalTime>
  <ScaleCrop>false</ScaleCrop>
  <LinksUpToDate>false</LinksUpToDate>
  <CharactersWithSpaces>3420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2023-06-16T16:16:00Z</dcterms:created>
  <dc:creator>GYJ-304-10</dc:creator>
  <cp:lastModifiedBy>WPS_1667541087</cp:lastModifiedBy>
  <cp:lastPrinted>2023-07-30T01:32:00Z</cp:lastPrinted>
  <dcterms:modified xsi:type="dcterms:W3CDTF">2023-09-22T08:20:12Z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C9A58E1089CF4660B5ECD598C4FC05D1_13</vt:lpwstr>
  </property>
</Properties>
</file>