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center"/>
        <w:rPr>
          <w:rFonts w:ascii="黑体" w:hAnsi="黑体" w:eastAsia="黑体" w:cs="黑体"/>
          <w:b w:val="0"/>
          <w:bCs w:val="0"/>
          <w:snapToGrid w:val="0"/>
          <w:spacing w:val="0"/>
          <w:position w:val="0"/>
          <w:sz w:val="24"/>
          <w:szCs w:val="24"/>
        </w:rPr>
      </w:pPr>
      <w:r>
        <w:rPr>
          <w:rFonts w:ascii="黑体" w:hAnsi="黑体" w:eastAsia="黑体" w:cs="黑体"/>
          <w:b w:val="0"/>
          <w:bCs w:val="0"/>
          <w:snapToGrid w:val="0"/>
          <w:spacing w:val="0"/>
          <w:position w:val="0"/>
          <w:sz w:val="24"/>
          <w:szCs w:val="24"/>
        </w:rPr>
        <w:t>附件1</w:t>
      </w:r>
    </w:p>
    <w:p>
      <w:pPr>
        <w:keepNext w:val="0"/>
        <w:keepLines w:val="0"/>
        <w:pageBreakBefore w:val="0"/>
        <w:widowControl w:val="0"/>
        <w:kinsoku w:val="0"/>
        <w:wordWrap/>
        <w:overflowPunct w:val="0"/>
        <w:topLinePunct w:val="0"/>
        <w:autoSpaceDE w:val="0"/>
        <w:autoSpaceDN w:val="0"/>
        <w:bidi w:val="0"/>
        <w:adjustRightInd/>
        <w:snapToGrid/>
        <w:spacing w:before="0" w:beforeLines="100" w:after="0" w:afterLines="100" w:line="560" w:lineRule="exact"/>
        <w:ind w:right="0" w:firstLine="361" w:firstLineChars="100"/>
        <w:jc w:val="both"/>
        <w:textAlignment w:val="center"/>
        <w:outlineLvl w:val="0"/>
        <w:rPr>
          <w:rFonts w:hint="eastAsia" w:asciiTheme="majorEastAsia" w:hAnsiTheme="majorEastAsia" w:eastAsiaTheme="majorEastAsia" w:cstheme="majorEastAsia"/>
          <w:b/>
          <w:bCs/>
          <w:snapToGrid w:val="0"/>
          <w:spacing w:val="0"/>
          <w:position w:val="0"/>
          <w:sz w:val="36"/>
          <w:szCs w:val="36"/>
        </w:rPr>
      </w:pPr>
      <w:r>
        <w:rPr>
          <w:rFonts w:hint="eastAsia" w:asciiTheme="majorEastAsia" w:hAnsiTheme="majorEastAsia" w:eastAsiaTheme="majorEastAsia" w:cstheme="majorEastAsia"/>
          <w:b/>
          <w:bCs/>
          <w:snapToGrid w:val="0"/>
          <w:spacing w:val="0"/>
          <w:position w:val="0"/>
          <w:sz w:val="36"/>
          <w:szCs w:val="36"/>
          <w:lang w:val="en-US" w:eastAsia="zh-CN"/>
        </w:rPr>
        <w:t>长春市城乡建设委员会</w:t>
      </w:r>
      <w:r>
        <w:rPr>
          <w:rFonts w:hint="eastAsia" w:asciiTheme="majorEastAsia" w:hAnsiTheme="majorEastAsia" w:eastAsiaTheme="majorEastAsia" w:cstheme="majorEastAsia"/>
          <w:b/>
          <w:bCs/>
          <w:snapToGrid w:val="0"/>
          <w:spacing w:val="0"/>
          <w:position w:val="0"/>
          <w:sz w:val="36"/>
          <w:szCs w:val="36"/>
        </w:rPr>
        <w:t>行政处罚裁量权适用规则</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ascii="宋体" w:hAnsi="宋体" w:eastAsia="宋体" w:cs="宋体"/>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rPr>
        <w:t>第一条</w:t>
      </w:r>
      <w:r>
        <w:rPr>
          <w:b w:val="0"/>
          <w:bCs w:val="0"/>
          <w:snapToGrid w:val="0"/>
          <w:spacing w:val="0"/>
          <w:position w:val="0"/>
          <w:sz w:val="32"/>
          <w:szCs w:val="32"/>
        </w:rPr>
        <w:t xml:space="preserve"> </w:t>
      </w:r>
      <w:r>
        <w:rPr>
          <w:rFonts w:hint="eastAsia" w:ascii="仿宋" w:hAnsi="仿宋" w:eastAsia="仿宋" w:cs="仿宋"/>
          <w:b w:val="0"/>
          <w:bCs w:val="0"/>
          <w:snapToGrid w:val="0"/>
          <w:color w:val="auto"/>
          <w:spacing w:val="0"/>
          <w:position w:val="0"/>
          <w:sz w:val="32"/>
          <w:szCs w:val="32"/>
        </w:rPr>
        <w:t>为规范</w:t>
      </w:r>
      <w:r>
        <w:rPr>
          <w:rFonts w:hint="eastAsia" w:ascii="仿宋" w:hAnsi="仿宋" w:eastAsia="仿宋" w:cs="仿宋"/>
          <w:b w:val="0"/>
          <w:bCs w:val="0"/>
          <w:snapToGrid w:val="0"/>
          <w:color w:val="auto"/>
          <w:spacing w:val="0"/>
          <w:position w:val="0"/>
          <w:sz w:val="32"/>
          <w:szCs w:val="32"/>
          <w:lang w:val="en-US" w:eastAsia="zh-CN"/>
        </w:rPr>
        <w:t>我委</w:t>
      </w:r>
      <w:r>
        <w:rPr>
          <w:rFonts w:hint="eastAsia" w:ascii="仿宋" w:hAnsi="仿宋" w:eastAsia="仿宋" w:cs="仿宋"/>
          <w:b w:val="0"/>
          <w:bCs w:val="0"/>
          <w:snapToGrid w:val="0"/>
          <w:color w:val="auto"/>
          <w:spacing w:val="0"/>
          <w:position w:val="0"/>
          <w:sz w:val="32"/>
          <w:szCs w:val="32"/>
        </w:rPr>
        <w:t>行政处罚行为</w:t>
      </w:r>
      <w:r>
        <w:rPr>
          <w:rFonts w:hint="eastAsia" w:cs="仿宋"/>
          <w:b w:val="0"/>
          <w:bCs w:val="0"/>
          <w:snapToGrid w:val="0"/>
          <w:color w:val="auto"/>
          <w:spacing w:val="0"/>
          <w:position w:val="0"/>
          <w:sz w:val="32"/>
          <w:szCs w:val="32"/>
          <w:lang w:eastAsia="zh-CN"/>
        </w:rPr>
        <w:t>，</w:t>
      </w:r>
      <w:r>
        <w:rPr>
          <w:rFonts w:hint="eastAsia" w:ascii="仿宋" w:hAnsi="仿宋" w:eastAsia="仿宋" w:cs="仿宋"/>
          <w:b w:val="0"/>
          <w:bCs w:val="0"/>
          <w:snapToGrid w:val="0"/>
          <w:color w:val="auto"/>
          <w:spacing w:val="0"/>
          <w:position w:val="0"/>
          <w:sz w:val="32"/>
          <w:szCs w:val="32"/>
        </w:rPr>
        <w:t>依法</w:t>
      </w:r>
      <w:r>
        <w:rPr>
          <w:rFonts w:hint="eastAsia" w:cs="仿宋"/>
          <w:b w:val="0"/>
          <w:bCs w:val="0"/>
          <w:snapToGrid w:val="0"/>
          <w:color w:val="auto"/>
          <w:spacing w:val="0"/>
          <w:position w:val="0"/>
          <w:sz w:val="32"/>
          <w:szCs w:val="32"/>
          <w:lang w:eastAsia="zh-CN"/>
        </w:rPr>
        <w:t>、</w:t>
      </w:r>
      <w:r>
        <w:rPr>
          <w:rFonts w:hint="eastAsia" w:ascii="仿宋" w:hAnsi="仿宋" w:eastAsia="仿宋" w:cs="仿宋"/>
          <w:b w:val="0"/>
          <w:bCs w:val="0"/>
          <w:snapToGrid w:val="0"/>
          <w:color w:val="auto"/>
          <w:spacing w:val="0"/>
          <w:position w:val="0"/>
          <w:sz w:val="32"/>
          <w:szCs w:val="32"/>
        </w:rPr>
        <w:t>合理行使行政处罚裁量权</w:t>
      </w:r>
      <w:r>
        <w:rPr>
          <w:rFonts w:hint="eastAsia" w:cs="仿宋"/>
          <w:b w:val="0"/>
          <w:bCs w:val="0"/>
          <w:snapToGrid w:val="0"/>
          <w:color w:val="auto"/>
          <w:spacing w:val="0"/>
          <w:position w:val="0"/>
          <w:sz w:val="32"/>
          <w:szCs w:val="32"/>
          <w:lang w:eastAsia="zh-CN"/>
        </w:rPr>
        <w:t>，</w:t>
      </w:r>
      <w:r>
        <w:rPr>
          <w:rFonts w:hint="eastAsia" w:ascii="仿宋" w:hAnsi="仿宋" w:eastAsia="仿宋" w:cs="仿宋"/>
          <w:b w:val="0"/>
          <w:bCs w:val="0"/>
          <w:snapToGrid w:val="0"/>
          <w:color w:val="auto"/>
          <w:spacing w:val="0"/>
          <w:position w:val="0"/>
          <w:sz w:val="32"/>
          <w:szCs w:val="32"/>
        </w:rPr>
        <w:t>保护当事人的合法权益</w:t>
      </w:r>
      <w:r>
        <w:rPr>
          <w:rFonts w:hint="eastAsia" w:cs="仿宋"/>
          <w:b w:val="0"/>
          <w:bCs w:val="0"/>
          <w:snapToGrid w:val="0"/>
          <w:color w:val="auto"/>
          <w:spacing w:val="0"/>
          <w:position w:val="0"/>
          <w:sz w:val="32"/>
          <w:szCs w:val="32"/>
          <w:lang w:eastAsia="zh-CN"/>
        </w:rPr>
        <w:t>，</w:t>
      </w:r>
      <w:r>
        <w:rPr>
          <w:rFonts w:hint="eastAsia" w:ascii="仿宋" w:hAnsi="仿宋" w:eastAsia="仿宋" w:cs="仿宋"/>
          <w:b w:val="0"/>
          <w:bCs w:val="0"/>
          <w:snapToGrid w:val="0"/>
          <w:color w:val="auto"/>
          <w:spacing w:val="0"/>
          <w:position w:val="0"/>
          <w:sz w:val="32"/>
          <w:szCs w:val="32"/>
        </w:rPr>
        <w:t>根据《中华人民共和国行政处罚法》《国务院办公厅关于进一步规范行政裁量权基准制定和管理工作的意见》等法律和文件的规定</w:t>
      </w:r>
      <w:r>
        <w:rPr>
          <w:rFonts w:hint="eastAsia" w:cs="仿宋"/>
          <w:b w:val="0"/>
          <w:bCs w:val="0"/>
          <w:snapToGrid w:val="0"/>
          <w:color w:val="auto"/>
          <w:spacing w:val="0"/>
          <w:position w:val="0"/>
          <w:sz w:val="32"/>
          <w:szCs w:val="32"/>
          <w:lang w:eastAsia="zh-CN"/>
        </w:rPr>
        <w:t>，</w:t>
      </w:r>
      <w:r>
        <w:rPr>
          <w:rFonts w:hint="eastAsia" w:ascii="仿宋" w:hAnsi="仿宋" w:eastAsia="仿宋" w:cs="仿宋"/>
          <w:b w:val="0"/>
          <w:bCs w:val="0"/>
          <w:snapToGrid w:val="0"/>
          <w:color w:val="auto"/>
          <w:spacing w:val="0"/>
          <w:position w:val="0"/>
          <w:sz w:val="32"/>
          <w:szCs w:val="32"/>
        </w:rPr>
        <w:t>结合</w:t>
      </w:r>
      <w:r>
        <w:rPr>
          <w:rFonts w:hint="eastAsia" w:cs="仿宋"/>
          <w:b w:val="0"/>
          <w:bCs w:val="0"/>
          <w:snapToGrid w:val="0"/>
          <w:color w:val="auto"/>
          <w:spacing w:val="0"/>
          <w:position w:val="0"/>
          <w:sz w:val="32"/>
          <w:szCs w:val="32"/>
          <w:lang w:val="en-US" w:eastAsia="zh-CN"/>
        </w:rPr>
        <w:t>我委</w:t>
      </w:r>
      <w:r>
        <w:rPr>
          <w:rFonts w:hint="eastAsia" w:ascii="仿宋" w:hAnsi="仿宋" w:eastAsia="仿宋" w:cs="仿宋"/>
          <w:b w:val="0"/>
          <w:bCs w:val="0"/>
          <w:snapToGrid w:val="0"/>
          <w:color w:val="auto"/>
          <w:spacing w:val="0"/>
          <w:position w:val="0"/>
          <w:sz w:val="32"/>
          <w:szCs w:val="32"/>
        </w:rPr>
        <w:t>行政执法工作实际</w:t>
      </w:r>
      <w:r>
        <w:rPr>
          <w:rFonts w:hint="eastAsia" w:cs="仿宋"/>
          <w:b w:val="0"/>
          <w:bCs w:val="0"/>
          <w:snapToGrid w:val="0"/>
          <w:color w:val="auto"/>
          <w:spacing w:val="0"/>
          <w:position w:val="0"/>
          <w:sz w:val="32"/>
          <w:szCs w:val="32"/>
          <w:lang w:eastAsia="zh-CN"/>
        </w:rPr>
        <w:t>，</w:t>
      </w:r>
      <w:r>
        <w:rPr>
          <w:rFonts w:hint="eastAsia" w:ascii="仿宋" w:hAnsi="仿宋" w:eastAsia="仿宋" w:cs="仿宋"/>
          <w:b w:val="0"/>
          <w:bCs w:val="0"/>
          <w:snapToGrid w:val="0"/>
          <w:color w:val="auto"/>
          <w:spacing w:val="0"/>
          <w:position w:val="0"/>
          <w:sz w:val="32"/>
          <w:szCs w:val="32"/>
        </w:rPr>
        <w:t>制定本适用规则。</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rPr>
        <w:t>第二条</w:t>
      </w:r>
      <w:r>
        <w:rPr>
          <w:b w:val="0"/>
          <w:bCs w:val="0"/>
          <w:snapToGrid w:val="0"/>
          <w:spacing w:val="0"/>
          <w:position w:val="0"/>
          <w:sz w:val="32"/>
          <w:szCs w:val="32"/>
        </w:rPr>
        <w:t xml:space="preserve"> </w:t>
      </w:r>
      <w:r>
        <w:rPr>
          <w:rFonts w:hint="eastAsia"/>
          <w:b w:val="0"/>
          <w:bCs w:val="0"/>
          <w:snapToGrid w:val="0"/>
          <w:spacing w:val="0"/>
          <w:position w:val="0"/>
          <w:sz w:val="32"/>
          <w:szCs w:val="32"/>
          <w:lang w:val="en-US" w:eastAsia="zh-CN"/>
        </w:rPr>
        <w:t>长春市城乡建设委员会</w:t>
      </w:r>
      <w:r>
        <w:rPr>
          <w:b w:val="0"/>
          <w:bCs w:val="0"/>
          <w:snapToGrid w:val="0"/>
          <w:spacing w:val="0"/>
          <w:position w:val="0"/>
          <w:sz w:val="32"/>
          <w:szCs w:val="32"/>
        </w:rPr>
        <w:t>各</w:t>
      </w:r>
      <w:r>
        <w:rPr>
          <w:rFonts w:hint="eastAsia"/>
          <w:b w:val="0"/>
          <w:bCs w:val="0"/>
          <w:snapToGrid w:val="0"/>
          <w:spacing w:val="0"/>
          <w:position w:val="0"/>
          <w:sz w:val="32"/>
          <w:szCs w:val="32"/>
          <w:lang w:val="en-US" w:eastAsia="zh-CN"/>
        </w:rPr>
        <w:t>执法处室以及受委托执法单位（以下统称“行政执法机关”）</w:t>
      </w:r>
      <w:r>
        <w:rPr>
          <w:b w:val="0"/>
          <w:bCs w:val="0"/>
          <w:snapToGrid w:val="0"/>
          <w:spacing w:val="0"/>
          <w:position w:val="0"/>
          <w:sz w:val="32"/>
          <w:szCs w:val="32"/>
        </w:rPr>
        <w:t>依法实施行政处罚</w:t>
      </w:r>
      <w:r>
        <w:rPr>
          <w:rFonts w:hint="eastAsia"/>
          <w:b w:val="0"/>
          <w:bCs w:val="0"/>
          <w:snapToGrid w:val="0"/>
          <w:spacing w:val="0"/>
          <w:position w:val="0"/>
          <w:sz w:val="32"/>
          <w:szCs w:val="32"/>
          <w:lang w:eastAsia="zh-CN"/>
        </w:rPr>
        <w:t>，</w:t>
      </w:r>
      <w:r>
        <w:rPr>
          <w:b w:val="0"/>
          <w:bCs w:val="0"/>
          <w:snapToGrid w:val="0"/>
          <w:spacing w:val="0"/>
          <w:position w:val="0"/>
          <w:sz w:val="32"/>
          <w:szCs w:val="32"/>
        </w:rPr>
        <w:t>应当遵守本适用规则。</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b w:val="0"/>
          <w:bCs w:val="0"/>
          <w:snapToGrid w:val="0"/>
          <w:spacing w:val="0"/>
          <w:position w:val="0"/>
          <w:sz w:val="32"/>
          <w:szCs w:val="32"/>
        </w:rPr>
        <w:t>本规则与《</w:t>
      </w:r>
      <w:r>
        <w:rPr>
          <w:rFonts w:hint="eastAsia"/>
          <w:b w:val="0"/>
          <w:bCs w:val="0"/>
          <w:snapToGrid w:val="0"/>
          <w:spacing w:val="0"/>
          <w:position w:val="0"/>
          <w:sz w:val="32"/>
          <w:szCs w:val="32"/>
          <w:lang w:val="en-US" w:eastAsia="zh-CN"/>
        </w:rPr>
        <w:t>长春市城乡建设委员会</w:t>
      </w:r>
      <w:r>
        <w:rPr>
          <w:b w:val="0"/>
          <w:bCs w:val="0"/>
          <w:snapToGrid w:val="0"/>
          <w:spacing w:val="0"/>
          <w:position w:val="0"/>
          <w:sz w:val="32"/>
          <w:szCs w:val="32"/>
        </w:rPr>
        <w:t>行政处罚裁量基准》 (以下简称《裁量基准》)配套实施，用于规范行政执法机关实施行政处罚的行为。</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b w:val="0"/>
          <w:bCs w:val="0"/>
          <w:snapToGrid w:val="0"/>
          <w:spacing w:val="0"/>
          <w:position w:val="0"/>
          <w:sz w:val="32"/>
          <w:szCs w:val="32"/>
        </w:rPr>
        <w:t>本</w:t>
      </w: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裁量基准</w:t>
      </w:r>
      <w:r>
        <w:rPr>
          <w:rFonts w:hint="eastAsia"/>
          <w:b w:val="0"/>
          <w:bCs w:val="0"/>
          <w:snapToGrid w:val="0"/>
          <w:spacing w:val="0"/>
          <w:position w:val="0"/>
          <w:sz w:val="32"/>
          <w:szCs w:val="32"/>
          <w:lang w:eastAsia="zh-CN"/>
        </w:rPr>
        <w:t>》，</w:t>
      </w:r>
      <w:r>
        <w:rPr>
          <w:b w:val="0"/>
          <w:bCs w:val="0"/>
          <w:snapToGrid w:val="0"/>
          <w:spacing w:val="0"/>
          <w:position w:val="0"/>
          <w:sz w:val="32"/>
          <w:szCs w:val="32"/>
        </w:rPr>
        <w:t>是指依照行政执法机关的行政处罚权限，根据违法行为的事实、性质和情节等因素，划分为不予处罚、减轻、从轻</w:t>
      </w:r>
      <w:r>
        <w:rPr>
          <w:rFonts w:hint="eastAsia"/>
          <w:b w:val="0"/>
          <w:bCs w:val="0"/>
          <w:snapToGrid w:val="0"/>
          <w:spacing w:val="0"/>
          <w:position w:val="0"/>
          <w:sz w:val="32"/>
          <w:szCs w:val="32"/>
          <w:lang w:eastAsia="zh-CN"/>
        </w:rPr>
        <w:t>、</w:t>
      </w:r>
      <w:r>
        <w:rPr>
          <w:b w:val="0"/>
          <w:bCs w:val="0"/>
          <w:snapToGrid w:val="0"/>
          <w:spacing w:val="0"/>
          <w:position w:val="0"/>
          <w:sz w:val="32"/>
          <w:szCs w:val="32"/>
        </w:rPr>
        <w:t>一般和从重情形的裁量档次和处罚标准</w:t>
      </w:r>
      <w:r>
        <w:rPr>
          <w:rFonts w:hint="eastAsia"/>
          <w:b w:val="0"/>
          <w:bCs w:val="0"/>
          <w:snapToGrid w:val="0"/>
          <w:spacing w:val="0"/>
          <w:position w:val="0"/>
          <w:sz w:val="32"/>
          <w:szCs w:val="32"/>
          <w:lang w:eastAsia="zh-CN"/>
        </w:rPr>
        <w:t>。</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line="560" w:lineRule="exact"/>
        <w:ind w:right="0" w:rightChars="0" w:firstLine="640" w:firstLineChars="200"/>
        <w:jc w:val="both"/>
        <w:textAlignment w:val="center"/>
        <w:rPr>
          <w:rFonts w:hint="default"/>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 xml:space="preserve">第三条 </w:t>
      </w:r>
      <w:r>
        <w:rPr>
          <w:b w:val="0"/>
          <w:bCs w:val="0"/>
          <w:snapToGrid w:val="0"/>
          <w:spacing w:val="0"/>
          <w:position w:val="0"/>
          <w:sz w:val="32"/>
          <w:szCs w:val="32"/>
        </w:rPr>
        <w:t>本规则及《裁量基准》所称行政处罚裁量权</w:t>
      </w:r>
      <w:r>
        <w:rPr>
          <w:rFonts w:hint="eastAsia"/>
          <w:b w:val="0"/>
          <w:bCs w:val="0"/>
          <w:snapToGrid w:val="0"/>
          <w:spacing w:val="0"/>
          <w:position w:val="0"/>
          <w:sz w:val="32"/>
          <w:szCs w:val="32"/>
          <w:lang w:eastAsia="zh-CN"/>
        </w:rPr>
        <w:t>，</w:t>
      </w:r>
      <w:r>
        <w:rPr>
          <w:b w:val="0"/>
          <w:bCs w:val="0"/>
          <w:snapToGrid w:val="0"/>
          <w:spacing w:val="0"/>
          <w:position w:val="0"/>
          <w:sz w:val="32"/>
          <w:szCs w:val="32"/>
        </w:rPr>
        <w:t>是指行政执法机关在实施行政处罚权时，根据违法行为的</w:t>
      </w:r>
      <w:r>
        <w:rPr>
          <w:rFonts w:hint="eastAsia"/>
          <w:b w:val="0"/>
          <w:bCs w:val="0"/>
          <w:snapToGrid w:val="0"/>
          <w:spacing w:val="0"/>
          <w:position w:val="0"/>
          <w:sz w:val="32"/>
          <w:szCs w:val="32"/>
          <w:lang w:val="en-US" w:eastAsia="zh-CN"/>
        </w:rPr>
        <w:t>事实、性质和情节等，在法律、法规和规章规定的行政处罚种类、幅度范围内享有的自主决定权。</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第四条</w:t>
      </w:r>
      <w:r>
        <w:rPr>
          <w:rFonts w:hint="eastAsia"/>
          <w:b w:val="0"/>
          <w:bCs w:val="0"/>
          <w:snapToGrid w:val="0"/>
          <w:spacing w:val="0"/>
          <w:position w:val="0"/>
          <w:sz w:val="32"/>
          <w:szCs w:val="32"/>
          <w:lang w:val="en-US" w:eastAsia="zh-CN"/>
        </w:rPr>
        <w:t xml:space="preserve"> 行政执法机关行使行政处罚裁量权应当坚持公平、公正、公开、过罚相当、程序正当、行政效率、教育与处罚相结合原则。</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rPr>
        <w:t xml:space="preserve">第五条 </w:t>
      </w:r>
      <w:r>
        <w:rPr>
          <w:b w:val="0"/>
          <w:bCs w:val="0"/>
          <w:snapToGrid w:val="0"/>
          <w:spacing w:val="0"/>
          <w:position w:val="0"/>
          <w:sz w:val="32"/>
          <w:szCs w:val="32"/>
        </w:rPr>
        <w:t>对当事人的同一个违法行为</w:t>
      </w:r>
      <w:r>
        <w:rPr>
          <w:rFonts w:hint="eastAsia"/>
          <w:b w:val="0"/>
          <w:bCs w:val="0"/>
          <w:snapToGrid w:val="0"/>
          <w:spacing w:val="0"/>
          <w:position w:val="0"/>
          <w:sz w:val="32"/>
          <w:szCs w:val="32"/>
          <w:lang w:eastAsia="zh-CN"/>
        </w:rPr>
        <w:t>，</w:t>
      </w:r>
      <w:r>
        <w:rPr>
          <w:b w:val="0"/>
          <w:bCs w:val="0"/>
          <w:snapToGrid w:val="0"/>
          <w:spacing w:val="0"/>
          <w:position w:val="0"/>
          <w:sz w:val="32"/>
          <w:szCs w:val="32"/>
        </w:rPr>
        <w:t>不得给予两次以上罚款的行政处罚。同一个违法行为违反多个法律规范应当给予罚款处罚的</w:t>
      </w:r>
      <w:r>
        <w:rPr>
          <w:rFonts w:hint="eastAsia"/>
          <w:b w:val="0"/>
          <w:bCs w:val="0"/>
          <w:snapToGrid w:val="0"/>
          <w:spacing w:val="0"/>
          <w:position w:val="0"/>
          <w:sz w:val="32"/>
          <w:szCs w:val="32"/>
          <w:lang w:eastAsia="zh-CN"/>
        </w:rPr>
        <w:t>，</w:t>
      </w:r>
      <w:r>
        <w:rPr>
          <w:b w:val="0"/>
          <w:bCs w:val="0"/>
          <w:snapToGrid w:val="0"/>
          <w:spacing w:val="0"/>
          <w:position w:val="0"/>
          <w:sz w:val="32"/>
          <w:szCs w:val="32"/>
        </w:rPr>
        <w:t>按照罚款数额高的规定处罚。</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lang w:val="en-US" w:eastAsia="zh-CN"/>
        </w:rPr>
        <w:t>第六条</w:t>
      </w:r>
      <w:r>
        <w:rPr>
          <w:rFonts w:hint="eastAsia"/>
          <w:b w:val="0"/>
          <w:bCs w:val="0"/>
          <w:snapToGrid w:val="0"/>
          <w:spacing w:val="0"/>
          <w:position w:val="0"/>
          <w:sz w:val="32"/>
          <w:szCs w:val="32"/>
          <w:lang w:val="en-US" w:eastAsia="zh-CN"/>
        </w:rPr>
        <w:t xml:space="preserve"> </w:t>
      </w:r>
      <w:r>
        <w:rPr>
          <w:b w:val="0"/>
          <w:bCs w:val="0"/>
          <w:snapToGrid w:val="0"/>
          <w:spacing w:val="0"/>
          <w:position w:val="0"/>
          <w:sz w:val="32"/>
          <w:szCs w:val="32"/>
        </w:rPr>
        <w:t>行政执法机关发现需要由上级行政执法机关实施的降低资质等级、暂扣或吊销许可证件等行政处罚，应当根据法律、法规提出行政处罚建议，逐级、及时将行政处罚建议和相关证据材料上报有权行使上述行政处罚的行政执法机关。</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第七条</w:t>
      </w:r>
      <w:r>
        <w:rPr>
          <w:rFonts w:hint="eastAsia"/>
          <w:b w:val="0"/>
          <w:bCs w:val="0"/>
          <w:snapToGrid w:val="0"/>
          <w:spacing w:val="0"/>
          <w:position w:val="0"/>
          <w:sz w:val="32"/>
          <w:szCs w:val="32"/>
          <w:lang w:val="en-US" w:eastAsia="zh-CN"/>
        </w:rPr>
        <w:t xml:space="preserve"> 当事人具有下列行为之一的，依法不予行政处罚：</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（一）不满14周岁的公民有违法行为的；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default"/>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（二）精神病人、智力残疾人在不能辨认或者不能控制自己行为时由违法行为的；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三</w:t>
      </w:r>
      <w:r>
        <w:rPr>
          <w:rFonts w:hint="eastAsia"/>
          <w:b w:val="0"/>
          <w:bCs w:val="0"/>
          <w:snapToGrid w:val="0"/>
          <w:spacing w:val="0"/>
          <w:position w:val="0"/>
          <w:sz w:val="32"/>
          <w:szCs w:val="32"/>
          <w:lang w:eastAsia="zh-CN"/>
        </w:rPr>
        <w:t>）</w:t>
      </w:r>
      <w:r>
        <w:rPr>
          <w:b w:val="0"/>
          <w:bCs w:val="0"/>
          <w:snapToGrid w:val="0"/>
          <w:spacing w:val="0"/>
          <w:position w:val="0"/>
          <w:sz w:val="32"/>
          <w:szCs w:val="32"/>
        </w:rPr>
        <w:t>违法行为轻微并及时纠正，没有造成危害后果的；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四</w:t>
      </w:r>
      <w:r>
        <w:rPr>
          <w:rFonts w:hint="eastAsia"/>
          <w:b w:val="0"/>
          <w:bCs w:val="0"/>
          <w:snapToGrid w:val="0"/>
          <w:spacing w:val="0"/>
          <w:position w:val="0"/>
          <w:sz w:val="32"/>
          <w:szCs w:val="32"/>
          <w:lang w:eastAsia="zh-CN"/>
        </w:rPr>
        <w:t>）</w:t>
      </w:r>
      <w:r>
        <w:rPr>
          <w:b w:val="0"/>
          <w:bCs w:val="0"/>
          <w:snapToGrid w:val="0"/>
          <w:spacing w:val="0"/>
          <w:position w:val="0"/>
          <w:sz w:val="32"/>
          <w:szCs w:val="32"/>
        </w:rPr>
        <w:t>超过追究行政法律责任期限的；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五</w:t>
      </w:r>
      <w:r>
        <w:rPr>
          <w:rFonts w:hint="eastAsia"/>
          <w:b w:val="0"/>
          <w:bCs w:val="0"/>
          <w:snapToGrid w:val="0"/>
          <w:spacing w:val="0"/>
          <w:position w:val="0"/>
          <w:sz w:val="32"/>
          <w:szCs w:val="32"/>
          <w:lang w:eastAsia="zh-CN"/>
        </w:rPr>
        <w:t>）</w:t>
      </w:r>
      <w:r>
        <w:rPr>
          <w:b w:val="0"/>
          <w:bCs w:val="0"/>
          <w:snapToGrid w:val="0"/>
          <w:spacing w:val="0"/>
          <w:position w:val="0"/>
          <w:sz w:val="32"/>
          <w:szCs w:val="32"/>
        </w:rPr>
        <w:t>当事人有证据足以证明没有主观过错的。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val="en-US" w:eastAsia="zh-CN"/>
        </w:rPr>
        <w:t>前款的（四）（五）项内容，法律或行政法规有规定的，从其规定。</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line="560" w:lineRule="exact"/>
        <w:ind w:right="0" w:rightChars="0" w:firstLine="640" w:firstLineChars="200"/>
        <w:jc w:val="both"/>
        <w:textAlignment w:val="center"/>
        <w:rPr>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lang w:val="en-US" w:eastAsia="zh-CN"/>
        </w:rPr>
        <w:t>第八条</w:t>
      </w:r>
      <w:r>
        <w:rPr>
          <w:rFonts w:hint="eastAsia"/>
          <w:b w:val="0"/>
          <w:bCs w:val="0"/>
          <w:snapToGrid w:val="0"/>
          <w:spacing w:val="0"/>
          <w:position w:val="0"/>
          <w:sz w:val="32"/>
          <w:szCs w:val="32"/>
          <w:lang w:val="en-US" w:eastAsia="zh-CN"/>
        </w:rPr>
        <w:t xml:space="preserve"> </w:t>
      </w:r>
      <w:r>
        <w:rPr>
          <w:b w:val="0"/>
          <w:bCs w:val="0"/>
          <w:snapToGrid w:val="0"/>
          <w:spacing w:val="0"/>
          <w:position w:val="0"/>
          <w:sz w:val="32"/>
          <w:szCs w:val="32"/>
        </w:rPr>
        <w:t>在法定追究行政法律责任期限内，没有相同领域的违法行为记录，初次违法且危害后果轻微并及时改正的，可以不予行政处罚。</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line="560" w:lineRule="exact"/>
        <w:ind w:right="0" w:rightChars="0" w:firstLine="640" w:firstLineChars="200"/>
        <w:jc w:val="both"/>
        <w:textAlignment w:val="center"/>
        <w:rPr>
          <w:rFonts w:hint="default" w:eastAsia="仿宋"/>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第九条</w:t>
      </w:r>
      <w:r>
        <w:rPr>
          <w:rFonts w:hint="eastAsia"/>
          <w:b w:val="0"/>
          <w:bCs w:val="0"/>
          <w:snapToGrid w:val="0"/>
          <w:spacing w:val="0"/>
          <w:position w:val="0"/>
          <w:sz w:val="32"/>
          <w:szCs w:val="32"/>
          <w:lang w:val="en-US" w:eastAsia="zh-CN"/>
        </w:rPr>
        <w:t xml:space="preserve"> 当事人有下列情形之一，应当从轻或者减轻行政处罚：</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一</w:t>
      </w:r>
      <w:r>
        <w:rPr>
          <w:rFonts w:hint="eastAsia"/>
          <w:b w:val="0"/>
          <w:bCs w:val="0"/>
          <w:snapToGrid w:val="0"/>
          <w:spacing w:val="0"/>
          <w:position w:val="0"/>
          <w:sz w:val="32"/>
          <w:szCs w:val="32"/>
          <w:lang w:eastAsia="zh-CN"/>
        </w:rPr>
        <w:t>）</w:t>
      </w:r>
      <w:r>
        <w:rPr>
          <w:b w:val="0"/>
          <w:bCs w:val="0"/>
          <w:snapToGrid w:val="0"/>
          <w:spacing w:val="0"/>
          <w:position w:val="0"/>
          <w:sz w:val="32"/>
          <w:szCs w:val="32"/>
        </w:rPr>
        <w:t>主动消除或者减轻违法行为危害后果的；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二</w:t>
      </w:r>
      <w:r>
        <w:rPr>
          <w:rFonts w:hint="eastAsia"/>
          <w:b w:val="0"/>
          <w:bCs w:val="0"/>
          <w:snapToGrid w:val="0"/>
          <w:spacing w:val="0"/>
          <w:position w:val="0"/>
          <w:sz w:val="32"/>
          <w:szCs w:val="32"/>
          <w:lang w:eastAsia="zh-CN"/>
        </w:rPr>
        <w:t>）</w:t>
      </w:r>
      <w:r>
        <w:rPr>
          <w:b w:val="0"/>
          <w:bCs w:val="0"/>
          <w:snapToGrid w:val="0"/>
          <w:spacing w:val="0"/>
          <w:position w:val="0"/>
          <w:sz w:val="32"/>
          <w:szCs w:val="32"/>
        </w:rPr>
        <w:t>受他人胁迫或者诱骗实施违法行为的；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三</w:t>
      </w:r>
      <w:r>
        <w:rPr>
          <w:rFonts w:hint="eastAsia"/>
          <w:b w:val="0"/>
          <w:bCs w:val="0"/>
          <w:snapToGrid w:val="0"/>
          <w:spacing w:val="0"/>
          <w:position w:val="0"/>
          <w:sz w:val="32"/>
          <w:szCs w:val="32"/>
          <w:lang w:eastAsia="zh-CN"/>
        </w:rPr>
        <w:t>）</w:t>
      </w:r>
      <w:r>
        <w:rPr>
          <w:b w:val="0"/>
          <w:bCs w:val="0"/>
          <w:snapToGrid w:val="0"/>
          <w:spacing w:val="0"/>
          <w:position w:val="0"/>
          <w:sz w:val="32"/>
          <w:szCs w:val="32"/>
        </w:rPr>
        <w:t>主动供述行政机关尚未掌握的违法行为的；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eastAsia"/>
          <w:b w:val="0"/>
          <w:bCs w:val="0"/>
          <w:snapToGrid w:val="0"/>
          <w:spacing w:val="0"/>
          <w:position w:val="0"/>
          <w:sz w:val="32"/>
          <w:szCs w:val="32"/>
          <w:lang w:eastAsia="zh-CN"/>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四</w:t>
      </w:r>
      <w:r>
        <w:rPr>
          <w:rFonts w:hint="eastAsia"/>
          <w:b w:val="0"/>
          <w:bCs w:val="0"/>
          <w:snapToGrid w:val="0"/>
          <w:spacing w:val="0"/>
          <w:position w:val="0"/>
          <w:sz w:val="32"/>
          <w:szCs w:val="32"/>
          <w:lang w:eastAsia="zh-CN"/>
        </w:rPr>
        <w:t>）</w:t>
      </w:r>
      <w:r>
        <w:rPr>
          <w:b w:val="0"/>
          <w:bCs w:val="0"/>
          <w:snapToGrid w:val="0"/>
          <w:spacing w:val="0"/>
          <w:position w:val="0"/>
          <w:sz w:val="32"/>
          <w:szCs w:val="32"/>
        </w:rPr>
        <w:t>配合行政机关查处违法行为有立功表现的</w:t>
      </w:r>
      <w:r>
        <w:rPr>
          <w:rFonts w:hint="eastAsia"/>
          <w:b w:val="0"/>
          <w:bCs w:val="0"/>
          <w:snapToGrid w:val="0"/>
          <w:spacing w:val="0"/>
          <w:position w:val="0"/>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五</w:t>
      </w: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已满十四周岁不满十八周岁的未成年人由违法行为的；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（六）尚未完全丧失辨认或者控制自己行为能力的精神病人、智力残疾人有违法行为的；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（七）法律、法规、规章规定其他应当从轻或者减轻行政处罚的。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default"/>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第十条</w:t>
      </w:r>
      <w:r>
        <w:rPr>
          <w:rFonts w:hint="eastAsia"/>
          <w:b w:val="0"/>
          <w:bCs w:val="0"/>
          <w:snapToGrid w:val="0"/>
          <w:spacing w:val="0"/>
          <w:position w:val="0"/>
          <w:sz w:val="32"/>
          <w:szCs w:val="32"/>
          <w:lang w:val="en-US" w:eastAsia="zh-CN"/>
        </w:rPr>
        <w:t xml:space="preserve"> 当事人具有下列行为之一的，应当依法选择较重的处罚种类或罚款幅度处罚：</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default"/>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（一）严重损害国家利益、公众利益与公共安全，或者造成严重社会不良影响的；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二</w:t>
      </w:r>
      <w:r>
        <w:rPr>
          <w:rFonts w:hint="eastAsia"/>
          <w:b w:val="0"/>
          <w:bCs w:val="0"/>
          <w:snapToGrid w:val="0"/>
          <w:spacing w:val="0"/>
          <w:position w:val="0"/>
          <w:sz w:val="32"/>
          <w:szCs w:val="32"/>
          <w:lang w:eastAsia="zh-CN"/>
        </w:rPr>
        <w:t>）</w:t>
      </w:r>
      <w:r>
        <w:rPr>
          <w:b w:val="0"/>
          <w:bCs w:val="0"/>
          <w:snapToGrid w:val="0"/>
          <w:spacing w:val="0"/>
          <w:position w:val="0"/>
          <w:sz w:val="32"/>
          <w:szCs w:val="32"/>
        </w:rPr>
        <w:t>造成他人严重人身损害或者重大财产损失的；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（三）违法行为造成重大工程质量安全事故，或者违法行为牟取非法利益数额巨大的；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（四）被责令停止实施或者纠正违法行为后，继续实施违法行为的；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（五）受到行政处罚后再次实施相同或者相近领域违法行为的；</w:t>
      </w:r>
    </w:p>
    <w:p>
      <w:pPr>
        <w:pStyle w:val="2"/>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（六）在共同违法行为中起主要作用的；</w:t>
      </w:r>
    </w:p>
    <w:p>
      <w:pPr>
        <w:pStyle w:val="2"/>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七</w:t>
      </w:r>
      <w:r>
        <w:rPr>
          <w:rFonts w:hint="eastAsia"/>
          <w:b w:val="0"/>
          <w:bCs w:val="0"/>
          <w:snapToGrid w:val="0"/>
          <w:spacing w:val="0"/>
          <w:position w:val="0"/>
          <w:sz w:val="32"/>
          <w:szCs w:val="32"/>
          <w:lang w:eastAsia="zh-CN"/>
        </w:rPr>
        <w:t>）</w:t>
      </w:r>
      <w:r>
        <w:rPr>
          <w:b w:val="0"/>
          <w:bCs w:val="0"/>
          <w:snapToGrid w:val="0"/>
          <w:spacing w:val="0"/>
          <w:position w:val="0"/>
          <w:sz w:val="32"/>
          <w:szCs w:val="32"/>
        </w:rPr>
        <w:t>明示、指使、利诱、胁迫单位和个人实施违法行</w:t>
      </w:r>
      <w:r>
        <w:rPr>
          <w:rFonts w:hint="eastAsia"/>
          <w:b w:val="0"/>
          <w:bCs w:val="0"/>
          <w:snapToGrid w:val="0"/>
          <w:spacing w:val="0"/>
          <w:position w:val="0"/>
          <w:sz w:val="32"/>
          <w:szCs w:val="32"/>
          <w:lang w:val="en-US" w:eastAsia="zh-CN"/>
        </w:rPr>
        <w:t>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八</w:t>
      </w:r>
      <w:r>
        <w:rPr>
          <w:rFonts w:hint="eastAsia"/>
          <w:b w:val="0"/>
          <w:bCs w:val="0"/>
          <w:snapToGrid w:val="0"/>
          <w:spacing w:val="0"/>
          <w:position w:val="0"/>
          <w:sz w:val="32"/>
          <w:szCs w:val="32"/>
          <w:lang w:eastAsia="zh-CN"/>
        </w:rPr>
        <w:t>）</w:t>
      </w:r>
      <w:r>
        <w:rPr>
          <w:b w:val="0"/>
          <w:bCs w:val="0"/>
          <w:snapToGrid w:val="0"/>
          <w:spacing w:val="0"/>
          <w:position w:val="0"/>
          <w:sz w:val="32"/>
          <w:szCs w:val="32"/>
        </w:rPr>
        <w:t>伪造、隐匿、销毁违法行为证据，提供虚假证言或其他证据，掩盖事实真相，或者阻碍行政执法人员查处其违法行为的；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九</w:t>
      </w:r>
      <w:r>
        <w:rPr>
          <w:rFonts w:hint="eastAsia"/>
          <w:b w:val="0"/>
          <w:bCs w:val="0"/>
          <w:snapToGrid w:val="0"/>
          <w:spacing w:val="0"/>
          <w:position w:val="0"/>
          <w:sz w:val="32"/>
          <w:szCs w:val="32"/>
          <w:lang w:eastAsia="zh-CN"/>
        </w:rPr>
        <w:t>）</w:t>
      </w:r>
      <w:r>
        <w:rPr>
          <w:b w:val="0"/>
          <w:bCs w:val="0"/>
          <w:snapToGrid w:val="0"/>
          <w:spacing w:val="0"/>
          <w:position w:val="0"/>
          <w:sz w:val="32"/>
          <w:szCs w:val="32"/>
        </w:rPr>
        <w:t>对举报人、证人打击报复的；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十</w:t>
      </w:r>
      <w:r>
        <w:rPr>
          <w:rFonts w:hint="eastAsia"/>
          <w:b w:val="0"/>
          <w:bCs w:val="0"/>
          <w:snapToGrid w:val="0"/>
          <w:spacing w:val="0"/>
          <w:position w:val="0"/>
          <w:sz w:val="32"/>
          <w:szCs w:val="32"/>
          <w:lang w:eastAsia="zh-CN"/>
        </w:rPr>
        <w:t>）</w:t>
      </w:r>
      <w:r>
        <w:rPr>
          <w:b w:val="0"/>
          <w:bCs w:val="0"/>
          <w:snapToGrid w:val="0"/>
          <w:spacing w:val="0"/>
          <w:position w:val="0"/>
          <w:sz w:val="32"/>
          <w:szCs w:val="32"/>
        </w:rPr>
        <w:t>法律、法规、规章规定的其他应当从重处罚的。</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第十一条</w:t>
      </w:r>
      <w:r>
        <w:rPr>
          <w:rFonts w:hint="eastAsia"/>
          <w:b w:val="0"/>
          <w:bCs w:val="0"/>
          <w:snapToGrid w:val="0"/>
          <w:spacing w:val="0"/>
          <w:position w:val="0"/>
          <w:sz w:val="32"/>
          <w:szCs w:val="32"/>
          <w:lang w:val="en-US" w:eastAsia="zh-CN"/>
        </w:rPr>
        <w:t xml:space="preserve"> 从轻、减轻、从重行政处罚的，应当在行政 处罚告知书、行政处罚决定书等法律文书中对行政处罚裁量理由进行说明。</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default"/>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第十二条</w:t>
      </w:r>
      <w:r>
        <w:rPr>
          <w:rFonts w:hint="eastAsia"/>
          <w:b w:val="0"/>
          <w:bCs w:val="0"/>
          <w:snapToGrid w:val="0"/>
          <w:spacing w:val="0"/>
          <w:position w:val="0"/>
          <w:sz w:val="32"/>
          <w:szCs w:val="32"/>
          <w:lang w:val="en-US" w:eastAsia="zh-CN"/>
        </w:rPr>
        <w:t xml:space="preserve"> 实行“一案三书”制度，即对作出不予、从轻、减轻行政处罚决定的执法案件，同步下发相应的执法决定书、行政建议书、信用承诺书。</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第十三条</w:t>
      </w:r>
      <w:r>
        <w:rPr>
          <w:rFonts w:hint="eastAsia"/>
          <w:b w:val="0"/>
          <w:bCs w:val="0"/>
          <w:snapToGrid w:val="0"/>
          <w:spacing w:val="0"/>
          <w:position w:val="0"/>
          <w:sz w:val="32"/>
          <w:szCs w:val="32"/>
          <w:lang w:val="en-US" w:eastAsia="zh-CN"/>
        </w:rPr>
        <w:t xml:space="preserve"> 当事人的违法行为符合已公布的首违不罚事项清单中规定的情节时，应当优先适用首违不罚。</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第十四条</w:t>
      </w:r>
      <w:r>
        <w:rPr>
          <w:rFonts w:hint="eastAsia"/>
          <w:b w:val="0"/>
          <w:bCs w:val="0"/>
          <w:snapToGrid w:val="0"/>
          <w:spacing w:val="0"/>
          <w:position w:val="0"/>
          <w:sz w:val="32"/>
          <w:szCs w:val="32"/>
          <w:lang w:val="en-US" w:eastAsia="zh-CN"/>
        </w:rPr>
        <w:t xml:space="preserve"> 当事人的违法行为涉嫌犯罪的，行政机关应当及时将案件移送司法机关，依法追究刑事责任。不得以行政处罚代替刑事处罚。行政机关需要同时给予暂扣或吊销资质证、资格证的，应依法交由有权机关作出行政处罚决定。</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第十五条</w:t>
      </w:r>
      <w:r>
        <w:rPr>
          <w:rFonts w:hint="eastAsia"/>
          <w:b w:val="0"/>
          <w:bCs w:val="0"/>
          <w:snapToGrid w:val="0"/>
          <w:spacing w:val="0"/>
          <w:position w:val="0"/>
          <w:sz w:val="32"/>
          <w:szCs w:val="32"/>
          <w:lang w:val="en-US" w:eastAsia="zh-CN"/>
        </w:rPr>
        <w:t xml:space="preserve"> 行政处罚实施机关应当加强行政处罚案件监督检查工作，发现行政处罚权行使不当、显失公正的，应当主动及时纠正。</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委托处室在对受委托单位行政处罚案件监督检查中，发现行政处罚裁量权行政使不当、显失公正的，可以责令其予以纠正。</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第十六条</w:t>
      </w:r>
      <w:r>
        <w:rPr>
          <w:rFonts w:hint="eastAsia"/>
          <w:b w:val="0"/>
          <w:bCs w:val="0"/>
          <w:snapToGrid w:val="0"/>
          <w:spacing w:val="0"/>
          <w:position w:val="0"/>
          <w:sz w:val="32"/>
          <w:szCs w:val="32"/>
          <w:lang w:val="en-US" w:eastAsia="zh-CN"/>
        </w:rPr>
        <w:t xml:space="preserve"> 行政执法机关违法或者不当实施行政处罚裁量权，根据造成后果的严重程度及有关具体情况，可以责令限期改正，给予通报批评等处理。</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eastAsia"/>
          <w:b w:val="0"/>
          <w:bCs w:val="0"/>
          <w:snapToGrid w:val="0"/>
          <w:spacing w:val="0"/>
          <w:position w:val="0"/>
          <w:sz w:val="32"/>
          <w:szCs w:val="32"/>
          <w:lang w:val="en-US" w:eastAsia="zh-CN"/>
        </w:rPr>
      </w:pPr>
      <w:r>
        <w:rPr>
          <w:rFonts w:hint="eastAsia"/>
          <w:b w:val="0"/>
          <w:bCs w:val="0"/>
          <w:snapToGrid w:val="0"/>
          <w:spacing w:val="0"/>
          <w:position w:val="0"/>
          <w:sz w:val="32"/>
          <w:szCs w:val="32"/>
          <w:lang w:val="en-US" w:eastAsia="zh-CN"/>
        </w:rPr>
        <w:t>对有关行政执法人员，根据过错程度、危害大小、情节轻重，由有权处理机关依法处理。</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rPr>
        <w:t>第十</w:t>
      </w:r>
      <w:r>
        <w:rPr>
          <w:rFonts w:hint="eastAsia" w:ascii="黑体" w:hAnsi="黑体" w:eastAsia="黑体" w:cs="黑体"/>
          <w:b w:val="0"/>
          <w:bCs w:val="0"/>
          <w:snapToGrid w:val="0"/>
          <w:spacing w:val="0"/>
          <w:position w:val="0"/>
          <w:sz w:val="32"/>
          <w:szCs w:val="32"/>
          <w:lang w:val="en-US" w:eastAsia="zh-CN"/>
        </w:rPr>
        <w:t>七</w:t>
      </w:r>
      <w:r>
        <w:rPr>
          <w:rFonts w:hint="eastAsia" w:ascii="黑体" w:hAnsi="黑体" w:eastAsia="黑体" w:cs="黑体"/>
          <w:b w:val="0"/>
          <w:bCs w:val="0"/>
          <w:snapToGrid w:val="0"/>
          <w:spacing w:val="0"/>
          <w:position w:val="0"/>
          <w:sz w:val="32"/>
          <w:szCs w:val="32"/>
        </w:rPr>
        <w:t>条</w:t>
      </w:r>
      <w:r>
        <w:rPr>
          <w:rFonts w:ascii="宋体" w:hAnsi="宋体" w:eastAsia="宋体" w:cs="宋体"/>
          <w:b w:val="0"/>
          <w:bCs w:val="0"/>
          <w:snapToGrid w:val="0"/>
          <w:spacing w:val="0"/>
          <w:position w:val="0"/>
          <w:sz w:val="32"/>
          <w:szCs w:val="32"/>
        </w:rPr>
        <w:t xml:space="preserve"> </w:t>
      </w:r>
      <w:r>
        <w:rPr>
          <w:b w:val="0"/>
          <w:bCs w:val="0"/>
          <w:snapToGrid w:val="0"/>
          <w:spacing w:val="0"/>
          <w:position w:val="0"/>
          <w:sz w:val="32"/>
          <w:szCs w:val="32"/>
        </w:rPr>
        <w:t>需要法制审核的案件，办案机构在向法制机构送交审核的处罚案卷材料中，该处罚行使行政处罚裁量权的，应当说明行使行政处罚裁量权的事实、理由和依据。</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rFonts w:hint="eastAsia"/>
          <w:b w:val="0"/>
          <w:bCs w:val="0"/>
          <w:snapToGrid w:val="0"/>
          <w:spacing w:val="0"/>
          <w:position w:val="0"/>
          <w:sz w:val="32"/>
          <w:szCs w:val="32"/>
          <w:lang w:val="en-US" w:eastAsia="zh-CN"/>
        </w:rPr>
      </w:pPr>
      <w:r>
        <w:rPr>
          <w:b w:val="0"/>
          <w:bCs w:val="0"/>
          <w:snapToGrid w:val="0"/>
          <w:spacing w:val="0"/>
          <w:position w:val="0"/>
          <w:sz w:val="32"/>
          <w:szCs w:val="32"/>
        </w:rPr>
        <w:t>法制机构在审核行政处罚案件时，应当将办案机构行使</w:t>
      </w:r>
      <w:r>
        <w:rPr>
          <w:rFonts w:hint="eastAsia"/>
          <w:b w:val="0"/>
          <w:bCs w:val="0"/>
          <w:snapToGrid w:val="0"/>
          <w:spacing w:val="0"/>
          <w:position w:val="0"/>
          <w:sz w:val="32"/>
          <w:szCs w:val="32"/>
          <w:lang w:val="en-US" w:eastAsia="zh-CN"/>
        </w:rPr>
        <w:t>行政处罚裁量权的情况作为审核内容之一。</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line="560" w:lineRule="exact"/>
        <w:ind w:right="0" w:rightChars="0" w:firstLine="640" w:firstLineChars="200"/>
        <w:jc w:val="both"/>
        <w:textAlignment w:val="center"/>
        <w:rPr>
          <w:rFonts w:hint="eastAsia"/>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第十八条</w:t>
      </w:r>
      <w:r>
        <w:rPr>
          <w:rFonts w:hint="eastAsia"/>
          <w:b w:val="0"/>
          <w:bCs w:val="0"/>
          <w:snapToGrid w:val="0"/>
          <w:spacing w:val="0"/>
          <w:position w:val="0"/>
          <w:sz w:val="32"/>
          <w:szCs w:val="32"/>
          <w:lang w:val="en-US" w:eastAsia="zh-CN"/>
        </w:rPr>
        <w:t xml:space="preserve"> 法律法规规章已有规定，但本</w:t>
      </w: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裁量基准</w:t>
      </w:r>
      <w:r>
        <w:rPr>
          <w:rFonts w:hint="eastAsia"/>
          <w:b w:val="0"/>
          <w:bCs w:val="0"/>
          <w:snapToGrid w:val="0"/>
          <w:spacing w:val="0"/>
          <w:position w:val="0"/>
          <w:sz w:val="32"/>
          <w:szCs w:val="32"/>
          <w:lang w:eastAsia="zh-CN"/>
        </w:rPr>
        <w:t>》</w:t>
      </w:r>
      <w:r>
        <w:rPr>
          <w:rFonts w:hint="eastAsia"/>
          <w:b w:val="0"/>
          <w:bCs w:val="0"/>
          <w:snapToGrid w:val="0"/>
          <w:spacing w:val="0"/>
          <w:position w:val="0"/>
          <w:sz w:val="32"/>
          <w:szCs w:val="32"/>
          <w:lang w:val="en-US" w:eastAsia="zh-CN"/>
        </w:rPr>
        <w:t>中未体现的条款，依据《长春市规范行政处罚自由裁量权实施办法》相关规定适用裁量权。</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right="0" w:firstLine="640" w:firstLineChars="200"/>
        <w:jc w:val="both"/>
        <w:textAlignment w:val="center"/>
        <w:rPr>
          <w:rFonts w:hint="default"/>
          <w:b w:val="0"/>
          <w:bCs w:val="0"/>
          <w:snapToGrid w:val="0"/>
          <w:spacing w:val="0"/>
          <w:position w:val="0"/>
          <w:sz w:val="32"/>
          <w:szCs w:val="32"/>
          <w:lang w:val="en-US" w:eastAsia="zh-CN"/>
        </w:rPr>
      </w:pPr>
      <w:r>
        <w:rPr>
          <w:rFonts w:hint="eastAsia" w:ascii="黑体" w:hAnsi="黑体" w:eastAsia="黑体" w:cs="黑体"/>
          <w:b w:val="0"/>
          <w:bCs w:val="0"/>
          <w:snapToGrid w:val="0"/>
          <w:spacing w:val="0"/>
          <w:position w:val="0"/>
          <w:sz w:val="32"/>
          <w:szCs w:val="32"/>
          <w:lang w:val="en-US" w:eastAsia="zh-CN"/>
        </w:rPr>
        <w:t>第十九条</w:t>
      </w:r>
      <w:r>
        <w:rPr>
          <w:rFonts w:hint="eastAsia"/>
          <w:b w:val="0"/>
          <w:bCs w:val="0"/>
          <w:snapToGrid w:val="0"/>
          <w:spacing w:val="0"/>
          <w:position w:val="0"/>
          <w:sz w:val="32"/>
          <w:szCs w:val="32"/>
          <w:lang w:val="en-US" w:eastAsia="zh-CN"/>
        </w:rPr>
        <w:t xml:space="preserve"> 本《裁量基准》中涉及“以上”、“以下”、</w:t>
      </w:r>
      <w:bookmarkStart w:id="0" w:name="_GoBack"/>
      <w:bookmarkEnd w:id="0"/>
      <w:r>
        <w:rPr>
          <w:rFonts w:hint="eastAsia"/>
          <w:b w:val="0"/>
          <w:bCs w:val="0"/>
          <w:snapToGrid w:val="0"/>
          <w:spacing w:val="0"/>
          <w:position w:val="0"/>
          <w:sz w:val="32"/>
          <w:szCs w:val="32"/>
          <w:lang w:val="en-US" w:eastAsia="zh-CN"/>
        </w:rPr>
        <w:t>“超过”的规定时，“以上”包含本数，“以下”“超过”不含本数。</w:t>
      </w:r>
    </w:p>
    <w:p>
      <w:pPr>
        <w:pStyle w:val="2"/>
        <w:keepNext w:val="0"/>
        <w:keepLines w:val="0"/>
        <w:pageBreakBefore w:val="0"/>
        <w:widowControl w:val="0"/>
        <w:kinsoku/>
        <w:wordWrap/>
        <w:overflowPunct w:val="0"/>
        <w:topLinePunct w:val="0"/>
        <w:autoSpaceDE w:val="0"/>
        <w:autoSpaceDN w:val="0"/>
        <w:bidi w:val="0"/>
        <w:adjustRightInd/>
        <w:snapToGrid/>
        <w:spacing w:line="560" w:lineRule="exact"/>
        <w:ind w:left="0" w:right="0" w:firstLine="640" w:firstLineChars="200"/>
        <w:jc w:val="both"/>
        <w:textAlignment w:val="center"/>
        <w:rPr>
          <w:b w:val="0"/>
          <w:bCs w:val="0"/>
          <w:snapToGrid w:val="0"/>
          <w:spacing w:val="0"/>
          <w:position w:val="0"/>
          <w:sz w:val="32"/>
          <w:szCs w:val="32"/>
        </w:rPr>
      </w:pPr>
      <w:r>
        <w:rPr>
          <w:rFonts w:hint="eastAsia" w:ascii="黑体" w:hAnsi="黑体" w:eastAsia="黑体" w:cs="黑体"/>
          <w:b w:val="0"/>
          <w:bCs w:val="0"/>
          <w:snapToGrid w:val="0"/>
          <w:spacing w:val="0"/>
          <w:position w:val="0"/>
          <w:sz w:val="32"/>
          <w:szCs w:val="32"/>
        </w:rPr>
        <w:t>第</w:t>
      </w:r>
      <w:r>
        <w:rPr>
          <w:rFonts w:hint="eastAsia" w:ascii="黑体" w:hAnsi="黑体" w:eastAsia="黑体" w:cs="黑体"/>
          <w:b w:val="0"/>
          <w:bCs w:val="0"/>
          <w:snapToGrid w:val="0"/>
          <w:spacing w:val="0"/>
          <w:position w:val="0"/>
          <w:sz w:val="32"/>
          <w:szCs w:val="32"/>
          <w:lang w:val="en-US" w:eastAsia="zh-CN"/>
        </w:rPr>
        <w:t>二十</w:t>
      </w:r>
      <w:r>
        <w:rPr>
          <w:rFonts w:hint="eastAsia" w:ascii="黑体" w:hAnsi="黑体" w:eastAsia="黑体" w:cs="黑体"/>
          <w:b w:val="0"/>
          <w:bCs w:val="0"/>
          <w:snapToGrid w:val="0"/>
          <w:spacing w:val="0"/>
          <w:position w:val="0"/>
          <w:sz w:val="32"/>
          <w:szCs w:val="32"/>
        </w:rPr>
        <w:t>条</w:t>
      </w:r>
      <w:r>
        <w:rPr>
          <w:rFonts w:ascii="宋体" w:hAnsi="宋体" w:eastAsia="宋体" w:cs="宋体"/>
          <w:b w:val="0"/>
          <w:bCs w:val="0"/>
          <w:snapToGrid w:val="0"/>
          <w:spacing w:val="0"/>
          <w:position w:val="0"/>
          <w:sz w:val="32"/>
          <w:szCs w:val="32"/>
        </w:rPr>
        <w:t xml:space="preserve"> </w:t>
      </w:r>
      <w:r>
        <w:rPr>
          <w:b w:val="0"/>
          <w:bCs w:val="0"/>
          <w:snapToGrid w:val="0"/>
          <w:spacing w:val="0"/>
          <w:position w:val="0"/>
          <w:sz w:val="32"/>
          <w:szCs w:val="32"/>
        </w:rPr>
        <w:t>本办法自发布之日起实施。</w:t>
      </w:r>
    </w:p>
    <w:sectPr>
      <w:headerReference r:id="rId5" w:type="default"/>
      <w:footerReference r:id="rId6" w:type="default"/>
      <w:pgSz w:w="11900" w:h="16830"/>
      <w:pgMar w:top="1440" w:right="1800" w:bottom="1440" w:left="180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Q0YjY0MDdmYWVkOGU1ODQzOWUzYzJhOTJkNmRjNWIifQ=="/>
  </w:docVars>
  <w:rsids>
    <w:rsidRoot w:val="00000000"/>
    <w:rsid w:val="00B2005C"/>
    <w:rsid w:val="030B0948"/>
    <w:rsid w:val="03791D04"/>
    <w:rsid w:val="05832D5D"/>
    <w:rsid w:val="08BA4CE8"/>
    <w:rsid w:val="08EE6740"/>
    <w:rsid w:val="0FFC5BE6"/>
    <w:rsid w:val="10B22386"/>
    <w:rsid w:val="11B8179E"/>
    <w:rsid w:val="12631F4C"/>
    <w:rsid w:val="163065E9"/>
    <w:rsid w:val="171657DF"/>
    <w:rsid w:val="17822E75"/>
    <w:rsid w:val="187C75C2"/>
    <w:rsid w:val="197D7D98"/>
    <w:rsid w:val="19CF6119"/>
    <w:rsid w:val="1C9A47BD"/>
    <w:rsid w:val="1E845724"/>
    <w:rsid w:val="1FAA740D"/>
    <w:rsid w:val="20F75A0D"/>
    <w:rsid w:val="211B76DF"/>
    <w:rsid w:val="238B4600"/>
    <w:rsid w:val="24F20F0E"/>
    <w:rsid w:val="27F543FE"/>
    <w:rsid w:val="2B942D1F"/>
    <w:rsid w:val="2C3818FC"/>
    <w:rsid w:val="2C6E531E"/>
    <w:rsid w:val="2DF81343"/>
    <w:rsid w:val="2FC17E5A"/>
    <w:rsid w:val="327C5832"/>
    <w:rsid w:val="32F64990"/>
    <w:rsid w:val="32FA0FB8"/>
    <w:rsid w:val="332967FC"/>
    <w:rsid w:val="34853B4C"/>
    <w:rsid w:val="34AA67C9"/>
    <w:rsid w:val="35305D76"/>
    <w:rsid w:val="35E14DB3"/>
    <w:rsid w:val="36B10C29"/>
    <w:rsid w:val="3A1514CF"/>
    <w:rsid w:val="3AFF0453"/>
    <w:rsid w:val="3B00217F"/>
    <w:rsid w:val="3BBB74F5"/>
    <w:rsid w:val="3DAF5796"/>
    <w:rsid w:val="41760AA5"/>
    <w:rsid w:val="41F52311"/>
    <w:rsid w:val="42701998"/>
    <w:rsid w:val="446612A5"/>
    <w:rsid w:val="44780FD8"/>
    <w:rsid w:val="464C6278"/>
    <w:rsid w:val="467B090B"/>
    <w:rsid w:val="469F19EE"/>
    <w:rsid w:val="47FE4D33"/>
    <w:rsid w:val="492B03C7"/>
    <w:rsid w:val="49A168DB"/>
    <w:rsid w:val="4B783E37"/>
    <w:rsid w:val="4CB22BAD"/>
    <w:rsid w:val="4D907392"/>
    <w:rsid w:val="4DAD0C4C"/>
    <w:rsid w:val="4FAD7F37"/>
    <w:rsid w:val="50B36B51"/>
    <w:rsid w:val="50C3182D"/>
    <w:rsid w:val="52B92F75"/>
    <w:rsid w:val="540F7CC5"/>
    <w:rsid w:val="544D1B39"/>
    <w:rsid w:val="5560764A"/>
    <w:rsid w:val="56332FB1"/>
    <w:rsid w:val="572172AD"/>
    <w:rsid w:val="5B157129"/>
    <w:rsid w:val="5D7C523D"/>
    <w:rsid w:val="624A0885"/>
    <w:rsid w:val="62F13FD7"/>
    <w:rsid w:val="645E744B"/>
    <w:rsid w:val="64917820"/>
    <w:rsid w:val="64B36C87"/>
    <w:rsid w:val="64EC0EFA"/>
    <w:rsid w:val="656F7435"/>
    <w:rsid w:val="66B772E6"/>
    <w:rsid w:val="69232124"/>
    <w:rsid w:val="69F83E9D"/>
    <w:rsid w:val="6B7A2B7B"/>
    <w:rsid w:val="6DC02F24"/>
    <w:rsid w:val="745B39A7"/>
    <w:rsid w:val="754D7793"/>
    <w:rsid w:val="76BD0DA7"/>
    <w:rsid w:val="76DD06A3"/>
    <w:rsid w:val="7E8024AF"/>
    <w:rsid w:val="7E972D10"/>
    <w:rsid w:val="7FAE52D2"/>
    <w:rsid w:val="7FDA6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2024-01-18T15:13:00Z</dcterms:created>
  <dc:creator>Kingsoft-PDF</dc:creator>
  <cp:lastModifiedBy>ling'ling</cp:lastModifiedBy>
  <dcterms:modified xsi:type="dcterms:W3CDTF">2024-01-19T02:52:49Z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2024-01-18T15:13:47Z</vt:filetime>
  </property>
  <property fmtid="{D5CDD505-2E9C-101B-9397-08002B2CF9AE}" pid="4" name="UsrData">
    <vt:lpwstr>65a8cfa783b9c4001f78fa3bwl</vt:lpwstr>
  </property>
  <property fmtid="{D5CDD505-2E9C-101B-9397-08002B2CF9AE}" pid="5" name="KSOProductBuildVer">
    <vt:lpwstr>2052-12.1.0.16120</vt:lpwstr>
  </property>
  <property fmtid="{D5CDD505-2E9C-101B-9397-08002B2CF9AE}" pid="6" name="ICV">
    <vt:lpwstr>B6464930FD884D0782AE6C16139424DE_13</vt:lpwstr>
  </property>
</Properties>
</file>